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E3334" w14:textId="77777777" w:rsidR="00257118" w:rsidRDefault="00257118" w:rsidP="00257118">
      <w:pPr>
        <w:jc w:val="center"/>
        <w:rPr>
          <w:b/>
          <w:sz w:val="36"/>
          <w:szCs w:val="24"/>
        </w:rPr>
      </w:pPr>
    </w:p>
    <w:p w14:paraId="785F346B" w14:textId="77777777" w:rsidR="00257118" w:rsidRDefault="00257118" w:rsidP="00257118">
      <w:pPr>
        <w:jc w:val="center"/>
        <w:rPr>
          <w:b/>
          <w:sz w:val="36"/>
          <w:szCs w:val="24"/>
        </w:rPr>
      </w:pPr>
    </w:p>
    <w:p w14:paraId="776AE79A" w14:textId="77777777" w:rsidR="00257118" w:rsidRDefault="00257118" w:rsidP="00257118">
      <w:pPr>
        <w:jc w:val="center"/>
        <w:rPr>
          <w:b/>
          <w:sz w:val="36"/>
          <w:szCs w:val="24"/>
        </w:rPr>
      </w:pPr>
    </w:p>
    <w:p w14:paraId="5B43ED2A" w14:textId="77777777" w:rsidR="00257118" w:rsidRDefault="00257118" w:rsidP="00257118">
      <w:pPr>
        <w:jc w:val="center"/>
        <w:rPr>
          <w:b/>
          <w:sz w:val="36"/>
          <w:szCs w:val="24"/>
        </w:rPr>
      </w:pPr>
    </w:p>
    <w:p w14:paraId="57EE4597" w14:textId="77777777" w:rsidR="00257118" w:rsidRDefault="00257118" w:rsidP="00257118">
      <w:pPr>
        <w:jc w:val="center"/>
        <w:rPr>
          <w:b/>
          <w:sz w:val="36"/>
          <w:szCs w:val="24"/>
        </w:rPr>
      </w:pPr>
    </w:p>
    <w:p w14:paraId="6AF089D2" w14:textId="77777777" w:rsidR="00257118" w:rsidRDefault="00257118" w:rsidP="00257118">
      <w:pPr>
        <w:jc w:val="center"/>
        <w:rPr>
          <w:b/>
          <w:sz w:val="36"/>
          <w:szCs w:val="24"/>
        </w:rPr>
      </w:pPr>
    </w:p>
    <w:p w14:paraId="28E42092" w14:textId="77777777" w:rsidR="00257118" w:rsidRDefault="00257118" w:rsidP="00257118">
      <w:pPr>
        <w:jc w:val="center"/>
        <w:rPr>
          <w:b/>
          <w:sz w:val="36"/>
          <w:szCs w:val="24"/>
        </w:rPr>
      </w:pPr>
    </w:p>
    <w:p w14:paraId="52C24E70" w14:textId="77777777" w:rsidR="00257118" w:rsidRDefault="00257118" w:rsidP="00257118">
      <w:pPr>
        <w:jc w:val="center"/>
        <w:rPr>
          <w:b/>
          <w:sz w:val="36"/>
          <w:szCs w:val="24"/>
        </w:rPr>
      </w:pPr>
    </w:p>
    <w:p w14:paraId="034810E2" w14:textId="25C15F9F" w:rsidR="00257118" w:rsidRPr="00257118" w:rsidRDefault="00257118" w:rsidP="00257118">
      <w:pPr>
        <w:jc w:val="center"/>
        <w:rPr>
          <w:b/>
          <w:sz w:val="36"/>
          <w:szCs w:val="24"/>
        </w:rPr>
      </w:pPr>
      <w:r>
        <w:rPr>
          <w:b/>
          <w:sz w:val="36"/>
          <w:szCs w:val="24"/>
        </w:rPr>
        <w:t>A needs a</w:t>
      </w:r>
      <w:r w:rsidR="00F2586D" w:rsidRPr="00257118">
        <w:rPr>
          <w:b/>
          <w:sz w:val="36"/>
          <w:szCs w:val="24"/>
        </w:rPr>
        <w:t>ssessment into special educational needs</w:t>
      </w:r>
      <w:r w:rsidR="00911F35">
        <w:rPr>
          <w:b/>
          <w:sz w:val="36"/>
          <w:szCs w:val="24"/>
        </w:rPr>
        <w:t xml:space="preserve"> and disability</w:t>
      </w:r>
      <w:r w:rsidR="00F2586D" w:rsidRPr="00257118">
        <w:rPr>
          <w:b/>
          <w:sz w:val="36"/>
          <w:szCs w:val="24"/>
        </w:rPr>
        <w:t xml:space="preserve"> in children and young people in York.</w:t>
      </w:r>
    </w:p>
    <w:p w14:paraId="7EBC5AAE" w14:textId="77777777" w:rsidR="00257118" w:rsidRDefault="00257118" w:rsidP="00257118">
      <w:pPr>
        <w:jc w:val="center"/>
        <w:rPr>
          <w:b/>
          <w:sz w:val="24"/>
          <w:szCs w:val="24"/>
        </w:rPr>
      </w:pPr>
    </w:p>
    <w:p w14:paraId="1AEFC857" w14:textId="77777777" w:rsidR="00257118" w:rsidRPr="00257118" w:rsidRDefault="00257118" w:rsidP="00257118">
      <w:pPr>
        <w:jc w:val="center"/>
        <w:rPr>
          <w:b/>
          <w:sz w:val="28"/>
          <w:szCs w:val="24"/>
        </w:rPr>
      </w:pPr>
      <w:r w:rsidRPr="00257118">
        <w:rPr>
          <w:b/>
          <w:sz w:val="28"/>
          <w:szCs w:val="24"/>
        </w:rPr>
        <w:t>Produced by City of York Council Public Health, October 2020</w:t>
      </w:r>
    </w:p>
    <w:p w14:paraId="7BE57736" w14:textId="77777777" w:rsidR="00257118" w:rsidRPr="000E6DA0" w:rsidRDefault="00257118" w:rsidP="00257118">
      <w:pPr>
        <w:jc w:val="center"/>
        <w:rPr>
          <w:sz w:val="28"/>
          <w:szCs w:val="24"/>
        </w:rPr>
      </w:pPr>
      <w:r w:rsidRPr="000E6DA0">
        <w:rPr>
          <w:sz w:val="28"/>
          <w:szCs w:val="24"/>
        </w:rPr>
        <w:t xml:space="preserve">Contact: Jen Saunders </w:t>
      </w:r>
    </w:p>
    <w:p w14:paraId="2D1B4901" w14:textId="77777777" w:rsidR="00257118" w:rsidRDefault="00257118" w:rsidP="00257118">
      <w:pPr>
        <w:jc w:val="center"/>
        <w:rPr>
          <w:b/>
          <w:sz w:val="24"/>
          <w:szCs w:val="24"/>
        </w:rPr>
      </w:pPr>
    </w:p>
    <w:p w14:paraId="0ACC84E8" w14:textId="77777777" w:rsidR="00612DB3" w:rsidRDefault="00612DB3" w:rsidP="00257118">
      <w:pPr>
        <w:jc w:val="center"/>
        <w:rPr>
          <w:b/>
          <w:sz w:val="24"/>
          <w:szCs w:val="24"/>
        </w:rPr>
      </w:pPr>
    </w:p>
    <w:p w14:paraId="63136E14" w14:textId="77777777" w:rsidR="00612DB3" w:rsidRDefault="00612DB3" w:rsidP="00257118">
      <w:pPr>
        <w:jc w:val="center"/>
        <w:rPr>
          <w:b/>
          <w:sz w:val="24"/>
          <w:szCs w:val="24"/>
        </w:rPr>
      </w:pPr>
    </w:p>
    <w:p w14:paraId="7B72DF23" w14:textId="77777777" w:rsidR="00612DB3" w:rsidRDefault="00612DB3" w:rsidP="00257118">
      <w:pPr>
        <w:jc w:val="center"/>
        <w:rPr>
          <w:b/>
          <w:sz w:val="24"/>
          <w:szCs w:val="24"/>
        </w:rPr>
      </w:pPr>
    </w:p>
    <w:p w14:paraId="00E734CF" w14:textId="77777777" w:rsidR="00612DB3" w:rsidRDefault="00612DB3" w:rsidP="00257118">
      <w:pPr>
        <w:jc w:val="center"/>
        <w:rPr>
          <w:b/>
          <w:sz w:val="24"/>
          <w:szCs w:val="24"/>
        </w:rPr>
      </w:pPr>
    </w:p>
    <w:p w14:paraId="40E19CAD" w14:textId="77777777" w:rsidR="00612DB3" w:rsidRDefault="00612DB3" w:rsidP="00257118">
      <w:pPr>
        <w:jc w:val="center"/>
        <w:rPr>
          <w:b/>
          <w:sz w:val="24"/>
          <w:szCs w:val="24"/>
        </w:rPr>
      </w:pPr>
    </w:p>
    <w:p w14:paraId="2A446A86" w14:textId="77777777" w:rsidR="00612DB3" w:rsidRDefault="00612DB3" w:rsidP="00257118">
      <w:pPr>
        <w:jc w:val="center"/>
        <w:rPr>
          <w:b/>
          <w:sz w:val="24"/>
          <w:szCs w:val="24"/>
        </w:rPr>
      </w:pPr>
    </w:p>
    <w:p w14:paraId="1DB7552C" w14:textId="77777777" w:rsidR="00612DB3" w:rsidRDefault="00612DB3" w:rsidP="00257118">
      <w:pPr>
        <w:jc w:val="center"/>
        <w:rPr>
          <w:b/>
          <w:sz w:val="24"/>
          <w:szCs w:val="24"/>
        </w:rPr>
      </w:pPr>
    </w:p>
    <w:p w14:paraId="1D4B3F32" w14:textId="77777777" w:rsidR="00612DB3" w:rsidRDefault="00612DB3" w:rsidP="00257118">
      <w:pPr>
        <w:jc w:val="center"/>
        <w:rPr>
          <w:b/>
          <w:sz w:val="24"/>
          <w:szCs w:val="24"/>
        </w:rPr>
      </w:pPr>
    </w:p>
    <w:p w14:paraId="6AC41C35" w14:textId="77777777" w:rsidR="00612DB3" w:rsidRDefault="00612DB3" w:rsidP="00257118">
      <w:pPr>
        <w:jc w:val="center"/>
        <w:rPr>
          <w:b/>
          <w:sz w:val="24"/>
          <w:szCs w:val="24"/>
        </w:rPr>
      </w:pPr>
    </w:p>
    <w:p w14:paraId="007AFC31" w14:textId="77777777" w:rsidR="00612DB3" w:rsidRDefault="00612DB3" w:rsidP="00257118">
      <w:pPr>
        <w:jc w:val="center"/>
        <w:rPr>
          <w:b/>
          <w:sz w:val="24"/>
          <w:szCs w:val="24"/>
        </w:rPr>
      </w:pPr>
    </w:p>
    <w:p w14:paraId="09299CAD" w14:textId="77777777" w:rsidR="00F2586D" w:rsidRPr="00EB4A49" w:rsidRDefault="00F2586D" w:rsidP="005F40D9">
      <w:pPr>
        <w:rPr>
          <w:rFonts w:asciiTheme="majorHAnsi" w:hAnsiTheme="majorHAnsi" w:cstheme="majorHAnsi"/>
          <w:b/>
          <w:sz w:val="24"/>
          <w:szCs w:val="24"/>
        </w:rPr>
      </w:pPr>
    </w:p>
    <w:p w14:paraId="1C6C4728" w14:textId="77777777" w:rsidR="00177DBD" w:rsidRPr="00EB4A49" w:rsidRDefault="00177DBD">
      <w:pPr>
        <w:rPr>
          <w:sz w:val="24"/>
          <w:szCs w:val="24"/>
        </w:rPr>
      </w:pPr>
    </w:p>
    <w:sdt>
      <w:sdtPr>
        <w:rPr>
          <w:rFonts w:asciiTheme="minorHAnsi" w:eastAsiaTheme="minorHAnsi" w:hAnsiTheme="minorHAnsi" w:cstheme="minorBidi"/>
          <w:color w:val="auto"/>
          <w:sz w:val="24"/>
          <w:szCs w:val="24"/>
          <w:lang w:val="en-GB"/>
        </w:rPr>
        <w:id w:val="1767809678"/>
        <w:docPartObj>
          <w:docPartGallery w:val="Table of Contents"/>
          <w:docPartUnique/>
        </w:docPartObj>
      </w:sdtPr>
      <w:sdtEndPr>
        <w:rPr>
          <w:b/>
          <w:bCs/>
          <w:noProof/>
        </w:rPr>
      </w:sdtEndPr>
      <w:sdtContent>
        <w:p w14:paraId="00F29241" w14:textId="77777777" w:rsidR="00177DBD" w:rsidRDefault="00177DBD">
          <w:pPr>
            <w:pStyle w:val="TOCHeading"/>
            <w:rPr>
              <w:sz w:val="24"/>
              <w:szCs w:val="24"/>
            </w:rPr>
          </w:pPr>
          <w:r w:rsidRPr="00EB4A49">
            <w:rPr>
              <w:sz w:val="24"/>
              <w:szCs w:val="24"/>
            </w:rPr>
            <w:t>Contents</w:t>
          </w:r>
        </w:p>
        <w:p w14:paraId="74E172BB" w14:textId="77777777" w:rsidR="00612DB3" w:rsidRPr="00612DB3" w:rsidRDefault="00612DB3" w:rsidP="00612DB3">
          <w:pPr>
            <w:rPr>
              <w:lang w:val="en-US"/>
            </w:rPr>
          </w:pPr>
        </w:p>
        <w:p w14:paraId="2911DC11" w14:textId="443080AF" w:rsidR="00C56413" w:rsidRDefault="00177DBD">
          <w:pPr>
            <w:pStyle w:val="TOC1"/>
            <w:tabs>
              <w:tab w:val="right" w:leader="dot" w:pos="9016"/>
            </w:tabs>
            <w:rPr>
              <w:rFonts w:eastAsiaTheme="minorEastAsia"/>
              <w:noProof/>
              <w:lang w:eastAsia="en-GB"/>
            </w:rPr>
          </w:pPr>
          <w:r w:rsidRPr="00EB4A49">
            <w:rPr>
              <w:sz w:val="24"/>
              <w:szCs w:val="24"/>
            </w:rPr>
            <w:fldChar w:fldCharType="begin"/>
          </w:r>
          <w:r w:rsidRPr="00EB4A49">
            <w:rPr>
              <w:sz w:val="24"/>
              <w:szCs w:val="24"/>
            </w:rPr>
            <w:instrText xml:space="preserve"> TOC \o "1-3" \h \z \u </w:instrText>
          </w:r>
          <w:r w:rsidRPr="00EB4A49">
            <w:rPr>
              <w:sz w:val="24"/>
              <w:szCs w:val="24"/>
            </w:rPr>
            <w:fldChar w:fldCharType="separate"/>
          </w:r>
          <w:hyperlink w:anchor="_Toc58575060" w:history="1">
            <w:r w:rsidR="00C56413" w:rsidRPr="00360526">
              <w:rPr>
                <w:rStyle w:val="Hyperlink"/>
                <w:b/>
                <w:noProof/>
              </w:rPr>
              <w:t>Key Findings</w:t>
            </w:r>
            <w:r w:rsidR="00C56413">
              <w:rPr>
                <w:noProof/>
                <w:webHidden/>
              </w:rPr>
              <w:tab/>
            </w:r>
            <w:r w:rsidR="00C56413">
              <w:rPr>
                <w:noProof/>
                <w:webHidden/>
              </w:rPr>
              <w:fldChar w:fldCharType="begin"/>
            </w:r>
            <w:r w:rsidR="00C56413">
              <w:rPr>
                <w:noProof/>
                <w:webHidden/>
              </w:rPr>
              <w:instrText xml:space="preserve"> PAGEREF _Toc58575060 \h </w:instrText>
            </w:r>
            <w:r w:rsidR="00C56413">
              <w:rPr>
                <w:noProof/>
                <w:webHidden/>
              </w:rPr>
            </w:r>
            <w:r w:rsidR="00C56413">
              <w:rPr>
                <w:noProof/>
                <w:webHidden/>
              </w:rPr>
              <w:fldChar w:fldCharType="separate"/>
            </w:r>
            <w:r w:rsidR="00C56413">
              <w:rPr>
                <w:noProof/>
                <w:webHidden/>
              </w:rPr>
              <w:t>4</w:t>
            </w:r>
            <w:r w:rsidR="00C56413">
              <w:rPr>
                <w:noProof/>
                <w:webHidden/>
              </w:rPr>
              <w:fldChar w:fldCharType="end"/>
            </w:r>
          </w:hyperlink>
        </w:p>
        <w:p w14:paraId="2D345085" w14:textId="3D9F8B8E" w:rsidR="00C56413" w:rsidRDefault="00DD2E2D">
          <w:pPr>
            <w:pStyle w:val="TOC1"/>
            <w:tabs>
              <w:tab w:val="right" w:leader="dot" w:pos="9016"/>
            </w:tabs>
            <w:rPr>
              <w:rFonts w:eastAsiaTheme="minorEastAsia"/>
              <w:noProof/>
              <w:lang w:eastAsia="en-GB"/>
            </w:rPr>
          </w:pPr>
          <w:hyperlink w:anchor="_Toc58575061" w:history="1">
            <w:r w:rsidR="00C56413" w:rsidRPr="00360526">
              <w:rPr>
                <w:rStyle w:val="Hyperlink"/>
                <w:b/>
                <w:noProof/>
              </w:rPr>
              <w:t>Scope</w:t>
            </w:r>
            <w:r w:rsidR="00C56413">
              <w:rPr>
                <w:noProof/>
                <w:webHidden/>
              </w:rPr>
              <w:tab/>
            </w:r>
            <w:r w:rsidR="00C56413">
              <w:rPr>
                <w:noProof/>
                <w:webHidden/>
              </w:rPr>
              <w:fldChar w:fldCharType="begin"/>
            </w:r>
            <w:r w:rsidR="00C56413">
              <w:rPr>
                <w:noProof/>
                <w:webHidden/>
              </w:rPr>
              <w:instrText xml:space="preserve"> PAGEREF _Toc58575061 \h </w:instrText>
            </w:r>
            <w:r w:rsidR="00C56413">
              <w:rPr>
                <w:noProof/>
                <w:webHidden/>
              </w:rPr>
            </w:r>
            <w:r w:rsidR="00C56413">
              <w:rPr>
                <w:noProof/>
                <w:webHidden/>
              </w:rPr>
              <w:fldChar w:fldCharType="separate"/>
            </w:r>
            <w:r w:rsidR="00C56413">
              <w:rPr>
                <w:noProof/>
                <w:webHidden/>
              </w:rPr>
              <w:t>6</w:t>
            </w:r>
            <w:r w:rsidR="00C56413">
              <w:rPr>
                <w:noProof/>
                <w:webHidden/>
              </w:rPr>
              <w:fldChar w:fldCharType="end"/>
            </w:r>
          </w:hyperlink>
        </w:p>
        <w:p w14:paraId="4B01B7B6" w14:textId="2B0587A6" w:rsidR="00C56413" w:rsidRDefault="00DD2E2D">
          <w:pPr>
            <w:pStyle w:val="TOC1"/>
            <w:tabs>
              <w:tab w:val="right" w:leader="dot" w:pos="9016"/>
            </w:tabs>
            <w:rPr>
              <w:rFonts w:eastAsiaTheme="minorEastAsia"/>
              <w:noProof/>
              <w:lang w:eastAsia="en-GB"/>
            </w:rPr>
          </w:pPr>
          <w:hyperlink w:anchor="_Toc58575062" w:history="1">
            <w:r w:rsidR="00C56413" w:rsidRPr="00360526">
              <w:rPr>
                <w:rStyle w:val="Hyperlink"/>
                <w:rFonts w:cstheme="majorHAnsi"/>
                <w:b/>
                <w:noProof/>
              </w:rPr>
              <w:t>Context</w:t>
            </w:r>
            <w:r w:rsidR="00C56413">
              <w:rPr>
                <w:noProof/>
                <w:webHidden/>
              </w:rPr>
              <w:tab/>
            </w:r>
            <w:r w:rsidR="00C56413">
              <w:rPr>
                <w:noProof/>
                <w:webHidden/>
              </w:rPr>
              <w:fldChar w:fldCharType="begin"/>
            </w:r>
            <w:r w:rsidR="00C56413">
              <w:rPr>
                <w:noProof/>
                <w:webHidden/>
              </w:rPr>
              <w:instrText xml:space="preserve"> PAGEREF _Toc58575062 \h </w:instrText>
            </w:r>
            <w:r w:rsidR="00C56413">
              <w:rPr>
                <w:noProof/>
                <w:webHidden/>
              </w:rPr>
            </w:r>
            <w:r w:rsidR="00C56413">
              <w:rPr>
                <w:noProof/>
                <w:webHidden/>
              </w:rPr>
              <w:fldChar w:fldCharType="separate"/>
            </w:r>
            <w:r w:rsidR="00C56413">
              <w:rPr>
                <w:noProof/>
                <w:webHidden/>
              </w:rPr>
              <w:t>7</w:t>
            </w:r>
            <w:r w:rsidR="00C56413">
              <w:rPr>
                <w:noProof/>
                <w:webHidden/>
              </w:rPr>
              <w:fldChar w:fldCharType="end"/>
            </w:r>
          </w:hyperlink>
        </w:p>
        <w:p w14:paraId="1BF1A034" w14:textId="0853ACF6" w:rsidR="00C56413" w:rsidRDefault="00DD2E2D">
          <w:pPr>
            <w:pStyle w:val="TOC2"/>
            <w:tabs>
              <w:tab w:val="right" w:leader="dot" w:pos="9016"/>
            </w:tabs>
            <w:rPr>
              <w:rFonts w:eastAsiaTheme="minorEastAsia"/>
              <w:noProof/>
              <w:lang w:eastAsia="en-GB"/>
            </w:rPr>
          </w:pPr>
          <w:hyperlink w:anchor="_Toc58575063" w:history="1">
            <w:r w:rsidR="00C56413" w:rsidRPr="00360526">
              <w:rPr>
                <w:rStyle w:val="Hyperlink"/>
                <w:rFonts w:cstheme="majorHAnsi"/>
                <w:noProof/>
              </w:rPr>
              <w:t>The Children and Families Act 2014 and SEND Code of Practice</w:t>
            </w:r>
            <w:r w:rsidR="00C56413">
              <w:rPr>
                <w:noProof/>
                <w:webHidden/>
              </w:rPr>
              <w:tab/>
            </w:r>
            <w:r w:rsidR="00C56413">
              <w:rPr>
                <w:noProof/>
                <w:webHidden/>
              </w:rPr>
              <w:fldChar w:fldCharType="begin"/>
            </w:r>
            <w:r w:rsidR="00C56413">
              <w:rPr>
                <w:noProof/>
                <w:webHidden/>
              </w:rPr>
              <w:instrText xml:space="preserve"> PAGEREF _Toc58575063 \h </w:instrText>
            </w:r>
            <w:r w:rsidR="00C56413">
              <w:rPr>
                <w:noProof/>
                <w:webHidden/>
              </w:rPr>
            </w:r>
            <w:r w:rsidR="00C56413">
              <w:rPr>
                <w:noProof/>
                <w:webHidden/>
              </w:rPr>
              <w:fldChar w:fldCharType="separate"/>
            </w:r>
            <w:r w:rsidR="00C56413">
              <w:rPr>
                <w:noProof/>
                <w:webHidden/>
              </w:rPr>
              <w:t>7</w:t>
            </w:r>
            <w:r w:rsidR="00C56413">
              <w:rPr>
                <w:noProof/>
                <w:webHidden/>
              </w:rPr>
              <w:fldChar w:fldCharType="end"/>
            </w:r>
          </w:hyperlink>
        </w:p>
        <w:p w14:paraId="1F9BB1A0" w14:textId="71385659" w:rsidR="00C56413" w:rsidRDefault="00DD2E2D">
          <w:pPr>
            <w:pStyle w:val="TOC2"/>
            <w:tabs>
              <w:tab w:val="right" w:leader="dot" w:pos="9016"/>
            </w:tabs>
            <w:rPr>
              <w:rFonts w:eastAsiaTheme="minorEastAsia"/>
              <w:noProof/>
              <w:lang w:eastAsia="en-GB"/>
            </w:rPr>
          </w:pPr>
          <w:hyperlink w:anchor="_Toc58575064" w:history="1">
            <w:r w:rsidR="00C56413" w:rsidRPr="00360526">
              <w:rPr>
                <w:rStyle w:val="Hyperlink"/>
                <w:rFonts w:cstheme="majorHAnsi"/>
                <w:noProof/>
              </w:rPr>
              <w:t>OFSTED and CQC inspection</w:t>
            </w:r>
            <w:r w:rsidR="00C56413">
              <w:rPr>
                <w:noProof/>
                <w:webHidden/>
              </w:rPr>
              <w:tab/>
            </w:r>
            <w:r w:rsidR="00C56413">
              <w:rPr>
                <w:noProof/>
                <w:webHidden/>
              </w:rPr>
              <w:fldChar w:fldCharType="begin"/>
            </w:r>
            <w:r w:rsidR="00C56413">
              <w:rPr>
                <w:noProof/>
                <w:webHidden/>
              </w:rPr>
              <w:instrText xml:space="preserve"> PAGEREF _Toc58575064 \h </w:instrText>
            </w:r>
            <w:r w:rsidR="00C56413">
              <w:rPr>
                <w:noProof/>
                <w:webHidden/>
              </w:rPr>
            </w:r>
            <w:r w:rsidR="00C56413">
              <w:rPr>
                <w:noProof/>
                <w:webHidden/>
              </w:rPr>
              <w:fldChar w:fldCharType="separate"/>
            </w:r>
            <w:r w:rsidR="00C56413">
              <w:rPr>
                <w:noProof/>
                <w:webHidden/>
              </w:rPr>
              <w:t>7</w:t>
            </w:r>
            <w:r w:rsidR="00C56413">
              <w:rPr>
                <w:noProof/>
                <w:webHidden/>
              </w:rPr>
              <w:fldChar w:fldCharType="end"/>
            </w:r>
          </w:hyperlink>
        </w:p>
        <w:p w14:paraId="32FA0C96" w14:textId="0D14B2CF" w:rsidR="00C56413" w:rsidRDefault="00DD2E2D">
          <w:pPr>
            <w:pStyle w:val="TOC2"/>
            <w:tabs>
              <w:tab w:val="right" w:leader="dot" w:pos="9016"/>
            </w:tabs>
            <w:rPr>
              <w:rFonts w:eastAsiaTheme="minorEastAsia"/>
              <w:noProof/>
              <w:lang w:eastAsia="en-GB"/>
            </w:rPr>
          </w:pPr>
          <w:hyperlink w:anchor="_Toc58575065" w:history="1">
            <w:r w:rsidR="00C56413" w:rsidRPr="00360526">
              <w:rPr>
                <w:rStyle w:val="Hyperlink"/>
                <w:rFonts w:cstheme="majorHAnsi"/>
                <w:noProof/>
              </w:rPr>
              <w:t>Overview of children and young people in York</w:t>
            </w:r>
            <w:r w:rsidR="00C56413">
              <w:rPr>
                <w:noProof/>
                <w:webHidden/>
              </w:rPr>
              <w:tab/>
            </w:r>
            <w:r w:rsidR="00C56413">
              <w:rPr>
                <w:noProof/>
                <w:webHidden/>
              </w:rPr>
              <w:fldChar w:fldCharType="begin"/>
            </w:r>
            <w:r w:rsidR="00C56413">
              <w:rPr>
                <w:noProof/>
                <w:webHidden/>
              </w:rPr>
              <w:instrText xml:space="preserve"> PAGEREF _Toc58575065 \h </w:instrText>
            </w:r>
            <w:r w:rsidR="00C56413">
              <w:rPr>
                <w:noProof/>
                <w:webHidden/>
              </w:rPr>
            </w:r>
            <w:r w:rsidR="00C56413">
              <w:rPr>
                <w:noProof/>
                <w:webHidden/>
              </w:rPr>
              <w:fldChar w:fldCharType="separate"/>
            </w:r>
            <w:r w:rsidR="00C56413">
              <w:rPr>
                <w:noProof/>
                <w:webHidden/>
              </w:rPr>
              <w:t>9</w:t>
            </w:r>
            <w:r w:rsidR="00C56413">
              <w:rPr>
                <w:noProof/>
                <w:webHidden/>
              </w:rPr>
              <w:fldChar w:fldCharType="end"/>
            </w:r>
          </w:hyperlink>
        </w:p>
        <w:p w14:paraId="3DC19894" w14:textId="1D0443CE" w:rsidR="00C56413" w:rsidRDefault="00DD2E2D">
          <w:pPr>
            <w:pStyle w:val="TOC1"/>
            <w:tabs>
              <w:tab w:val="right" w:leader="dot" w:pos="9016"/>
            </w:tabs>
            <w:rPr>
              <w:rFonts w:eastAsiaTheme="minorEastAsia"/>
              <w:noProof/>
              <w:lang w:eastAsia="en-GB"/>
            </w:rPr>
          </w:pPr>
          <w:hyperlink w:anchor="_Toc58575066" w:history="1">
            <w:r w:rsidR="00C56413" w:rsidRPr="00360526">
              <w:rPr>
                <w:rStyle w:val="Hyperlink"/>
                <w:rFonts w:cstheme="majorHAnsi"/>
                <w:b/>
                <w:noProof/>
              </w:rPr>
              <w:t>A 2020 snapshot</w:t>
            </w:r>
            <w:r w:rsidR="00C56413">
              <w:rPr>
                <w:noProof/>
                <w:webHidden/>
              </w:rPr>
              <w:tab/>
            </w:r>
            <w:r w:rsidR="00C56413">
              <w:rPr>
                <w:noProof/>
                <w:webHidden/>
              </w:rPr>
              <w:fldChar w:fldCharType="begin"/>
            </w:r>
            <w:r w:rsidR="00C56413">
              <w:rPr>
                <w:noProof/>
                <w:webHidden/>
              </w:rPr>
              <w:instrText xml:space="preserve"> PAGEREF _Toc58575066 \h </w:instrText>
            </w:r>
            <w:r w:rsidR="00C56413">
              <w:rPr>
                <w:noProof/>
                <w:webHidden/>
              </w:rPr>
            </w:r>
            <w:r w:rsidR="00C56413">
              <w:rPr>
                <w:noProof/>
                <w:webHidden/>
              </w:rPr>
              <w:fldChar w:fldCharType="separate"/>
            </w:r>
            <w:r w:rsidR="00C56413">
              <w:rPr>
                <w:noProof/>
                <w:webHidden/>
              </w:rPr>
              <w:t>12</w:t>
            </w:r>
            <w:r w:rsidR="00C56413">
              <w:rPr>
                <w:noProof/>
                <w:webHidden/>
              </w:rPr>
              <w:fldChar w:fldCharType="end"/>
            </w:r>
          </w:hyperlink>
        </w:p>
        <w:p w14:paraId="4707478C" w14:textId="0EA28F53" w:rsidR="00C56413" w:rsidRDefault="00DD2E2D">
          <w:pPr>
            <w:pStyle w:val="TOC2"/>
            <w:tabs>
              <w:tab w:val="right" w:leader="dot" w:pos="9016"/>
            </w:tabs>
            <w:rPr>
              <w:rFonts w:eastAsiaTheme="minorEastAsia"/>
              <w:noProof/>
              <w:lang w:eastAsia="en-GB"/>
            </w:rPr>
          </w:pPr>
          <w:hyperlink w:anchor="_Toc58575067" w:history="1">
            <w:r w:rsidR="00C56413" w:rsidRPr="00360526">
              <w:rPr>
                <w:rStyle w:val="Hyperlink"/>
                <w:rFonts w:cstheme="majorHAnsi"/>
                <w:noProof/>
              </w:rPr>
              <w:t>Description of the current SEND cohort</w:t>
            </w:r>
            <w:r w:rsidR="00C56413">
              <w:rPr>
                <w:noProof/>
                <w:webHidden/>
              </w:rPr>
              <w:tab/>
            </w:r>
            <w:r w:rsidR="00C56413">
              <w:rPr>
                <w:noProof/>
                <w:webHidden/>
              </w:rPr>
              <w:fldChar w:fldCharType="begin"/>
            </w:r>
            <w:r w:rsidR="00C56413">
              <w:rPr>
                <w:noProof/>
                <w:webHidden/>
              </w:rPr>
              <w:instrText xml:space="preserve"> PAGEREF _Toc58575067 \h </w:instrText>
            </w:r>
            <w:r w:rsidR="00C56413">
              <w:rPr>
                <w:noProof/>
                <w:webHidden/>
              </w:rPr>
            </w:r>
            <w:r w:rsidR="00C56413">
              <w:rPr>
                <w:noProof/>
                <w:webHidden/>
              </w:rPr>
              <w:fldChar w:fldCharType="separate"/>
            </w:r>
            <w:r w:rsidR="00C56413">
              <w:rPr>
                <w:noProof/>
                <w:webHidden/>
              </w:rPr>
              <w:t>12</w:t>
            </w:r>
            <w:r w:rsidR="00C56413">
              <w:rPr>
                <w:noProof/>
                <w:webHidden/>
              </w:rPr>
              <w:fldChar w:fldCharType="end"/>
            </w:r>
          </w:hyperlink>
        </w:p>
        <w:p w14:paraId="7D50A145" w14:textId="7A76C3FB" w:rsidR="00C56413" w:rsidRDefault="00DD2E2D">
          <w:pPr>
            <w:pStyle w:val="TOC2"/>
            <w:tabs>
              <w:tab w:val="right" w:leader="dot" w:pos="9016"/>
            </w:tabs>
            <w:rPr>
              <w:rFonts w:eastAsiaTheme="minorEastAsia"/>
              <w:noProof/>
              <w:lang w:eastAsia="en-GB"/>
            </w:rPr>
          </w:pPr>
          <w:hyperlink w:anchor="_Toc58575068" w:history="1">
            <w:r w:rsidR="00C56413" w:rsidRPr="00360526">
              <w:rPr>
                <w:rStyle w:val="Hyperlink"/>
                <w:rFonts w:cstheme="majorHAnsi"/>
                <w:noProof/>
              </w:rPr>
              <w:t>Primary Need</w:t>
            </w:r>
            <w:r w:rsidR="00C56413">
              <w:rPr>
                <w:noProof/>
                <w:webHidden/>
              </w:rPr>
              <w:tab/>
            </w:r>
            <w:r w:rsidR="00C56413">
              <w:rPr>
                <w:noProof/>
                <w:webHidden/>
              </w:rPr>
              <w:fldChar w:fldCharType="begin"/>
            </w:r>
            <w:r w:rsidR="00C56413">
              <w:rPr>
                <w:noProof/>
                <w:webHidden/>
              </w:rPr>
              <w:instrText xml:space="preserve"> PAGEREF _Toc58575068 \h </w:instrText>
            </w:r>
            <w:r w:rsidR="00C56413">
              <w:rPr>
                <w:noProof/>
                <w:webHidden/>
              </w:rPr>
            </w:r>
            <w:r w:rsidR="00C56413">
              <w:rPr>
                <w:noProof/>
                <w:webHidden/>
              </w:rPr>
              <w:fldChar w:fldCharType="separate"/>
            </w:r>
            <w:r w:rsidR="00C56413">
              <w:rPr>
                <w:noProof/>
                <w:webHidden/>
              </w:rPr>
              <w:t>12</w:t>
            </w:r>
            <w:r w:rsidR="00C56413">
              <w:rPr>
                <w:noProof/>
                <w:webHidden/>
              </w:rPr>
              <w:fldChar w:fldCharType="end"/>
            </w:r>
          </w:hyperlink>
        </w:p>
        <w:p w14:paraId="1947C4FC" w14:textId="5D3847F1" w:rsidR="00C56413" w:rsidRDefault="00DD2E2D">
          <w:pPr>
            <w:pStyle w:val="TOC2"/>
            <w:tabs>
              <w:tab w:val="right" w:leader="dot" w:pos="9016"/>
            </w:tabs>
            <w:rPr>
              <w:rFonts w:eastAsiaTheme="minorEastAsia"/>
              <w:noProof/>
              <w:lang w:eastAsia="en-GB"/>
            </w:rPr>
          </w:pPr>
          <w:hyperlink w:anchor="_Toc58575069" w:history="1">
            <w:r w:rsidR="00C56413" w:rsidRPr="00360526">
              <w:rPr>
                <w:rStyle w:val="Hyperlink"/>
                <w:rFonts w:cstheme="majorHAnsi"/>
                <w:noProof/>
              </w:rPr>
              <w:t>Age trends among pupils with an EHCP</w:t>
            </w:r>
            <w:r w:rsidR="00C56413">
              <w:rPr>
                <w:noProof/>
                <w:webHidden/>
              </w:rPr>
              <w:tab/>
            </w:r>
            <w:r w:rsidR="00C56413">
              <w:rPr>
                <w:noProof/>
                <w:webHidden/>
              </w:rPr>
              <w:fldChar w:fldCharType="begin"/>
            </w:r>
            <w:r w:rsidR="00C56413">
              <w:rPr>
                <w:noProof/>
                <w:webHidden/>
              </w:rPr>
              <w:instrText xml:space="preserve"> PAGEREF _Toc58575069 \h </w:instrText>
            </w:r>
            <w:r w:rsidR="00C56413">
              <w:rPr>
                <w:noProof/>
                <w:webHidden/>
              </w:rPr>
            </w:r>
            <w:r w:rsidR="00C56413">
              <w:rPr>
                <w:noProof/>
                <w:webHidden/>
              </w:rPr>
              <w:fldChar w:fldCharType="separate"/>
            </w:r>
            <w:r w:rsidR="00C56413">
              <w:rPr>
                <w:noProof/>
                <w:webHidden/>
              </w:rPr>
              <w:t>13</w:t>
            </w:r>
            <w:r w:rsidR="00C56413">
              <w:rPr>
                <w:noProof/>
                <w:webHidden/>
              </w:rPr>
              <w:fldChar w:fldCharType="end"/>
            </w:r>
          </w:hyperlink>
        </w:p>
        <w:p w14:paraId="715CC731" w14:textId="1DC5AE0E" w:rsidR="00C56413" w:rsidRDefault="00DD2E2D">
          <w:pPr>
            <w:pStyle w:val="TOC2"/>
            <w:tabs>
              <w:tab w:val="right" w:leader="dot" w:pos="9016"/>
            </w:tabs>
            <w:rPr>
              <w:rFonts w:eastAsiaTheme="minorEastAsia"/>
              <w:noProof/>
              <w:lang w:eastAsia="en-GB"/>
            </w:rPr>
          </w:pPr>
          <w:hyperlink w:anchor="_Toc58575070" w:history="1">
            <w:r w:rsidR="00C56413" w:rsidRPr="00360526">
              <w:rPr>
                <w:rStyle w:val="Hyperlink"/>
                <w:rFonts w:cstheme="majorHAnsi"/>
                <w:noProof/>
              </w:rPr>
              <w:t>Age trends among pupils with SEN-support</w:t>
            </w:r>
            <w:r w:rsidR="00C56413">
              <w:rPr>
                <w:noProof/>
                <w:webHidden/>
              </w:rPr>
              <w:tab/>
            </w:r>
            <w:r w:rsidR="00C56413">
              <w:rPr>
                <w:noProof/>
                <w:webHidden/>
              </w:rPr>
              <w:fldChar w:fldCharType="begin"/>
            </w:r>
            <w:r w:rsidR="00C56413">
              <w:rPr>
                <w:noProof/>
                <w:webHidden/>
              </w:rPr>
              <w:instrText xml:space="preserve"> PAGEREF _Toc58575070 \h </w:instrText>
            </w:r>
            <w:r w:rsidR="00C56413">
              <w:rPr>
                <w:noProof/>
                <w:webHidden/>
              </w:rPr>
            </w:r>
            <w:r w:rsidR="00C56413">
              <w:rPr>
                <w:noProof/>
                <w:webHidden/>
              </w:rPr>
              <w:fldChar w:fldCharType="separate"/>
            </w:r>
            <w:r w:rsidR="00C56413">
              <w:rPr>
                <w:noProof/>
                <w:webHidden/>
              </w:rPr>
              <w:t>14</w:t>
            </w:r>
            <w:r w:rsidR="00C56413">
              <w:rPr>
                <w:noProof/>
                <w:webHidden/>
              </w:rPr>
              <w:fldChar w:fldCharType="end"/>
            </w:r>
          </w:hyperlink>
        </w:p>
        <w:p w14:paraId="0F52A63A" w14:textId="32480142" w:rsidR="00C56413" w:rsidRDefault="00DD2E2D">
          <w:pPr>
            <w:pStyle w:val="TOC2"/>
            <w:tabs>
              <w:tab w:val="right" w:leader="dot" w:pos="9016"/>
            </w:tabs>
            <w:rPr>
              <w:rFonts w:eastAsiaTheme="minorEastAsia"/>
              <w:noProof/>
              <w:lang w:eastAsia="en-GB"/>
            </w:rPr>
          </w:pPr>
          <w:hyperlink w:anchor="_Toc58575071" w:history="1">
            <w:r w:rsidR="00C56413" w:rsidRPr="00360526">
              <w:rPr>
                <w:rStyle w:val="Hyperlink"/>
                <w:rFonts w:cstheme="majorHAnsi"/>
                <w:noProof/>
              </w:rPr>
              <w:t>Additional need in early years</w:t>
            </w:r>
            <w:r w:rsidR="00C56413">
              <w:rPr>
                <w:noProof/>
                <w:webHidden/>
              </w:rPr>
              <w:tab/>
            </w:r>
            <w:r w:rsidR="00C56413">
              <w:rPr>
                <w:noProof/>
                <w:webHidden/>
              </w:rPr>
              <w:fldChar w:fldCharType="begin"/>
            </w:r>
            <w:r w:rsidR="00C56413">
              <w:rPr>
                <w:noProof/>
                <w:webHidden/>
              </w:rPr>
              <w:instrText xml:space="preserve"> PAGEREF _Toc58575071 \h </w:instrText>
            </w:r>
            <w:r w:rsidR="00C56413">
              <w:rPr>
                <w:noProof/>
                <w:webHidden/>
              </w:rPr>
            </w:r>
            <w:r w:rsidR="00C56413">
              <w:rPr>
                <w:noProof/>
                <w:webHidden/>
              </w:rPr>
              <w:fldChar w:fldCharType="separate"/>
            </w:r>
            <w:r w:rsidR="00C56413">
              <w:rPr>
                <w:noProof/>
                <w:webHidden/>
              </w:rPr>
              <w:t>15</w:t>
            </w:r>
            <w:r w:rsidR="00C56413">
              <w:rPr>
                <w:noProof/>
                <w:webHidden/>
              </w:rPr>
              <w:fldChar w:fldCharType="end"/>
            </w:r>
          </w:hyperlink>
        </w:p>
        <w:p w14:paraId="70BFC99F" w14:textId="68FC044A" w:rsidR="00C56413" w:rsidRDefault="00DD2E2D">
          <w:pPr>
            <w:pStyle w:val="TOC1"/>
            <w:tabs>
              <w:tab w:val="right" w:leader="dot" w:pos="9016"/>
            </w:tabs>
            <w:rPr>
              <w:rFonts w:eastAsiaTheme="minorEastAsia"/>
              <w:noProof/>
              <w:lang w:eastAsia="en-GB"/>
            </w:rPr>
          </w:pPr>
          <w:hyperlink w:anchor="_Toc58575072" w:history="1">
            <w:r w:rsidR="00C56413" w:rsidRPr="00360526">
              <w:rPr>
                <w:rStyle w:val="Hyperlink"/>
                <w:rFonts w:cstheme="majorHAnsi"/>
                <w:b/>
                <w:noProof/>
              </w:rPr>
              <w:t>Trends in Time</w:t>
            </w:r>
            <w:r w:rsidR="00C56413">
              <w:rPr>
                <w:noProof/>
                <w:webHidden/>
              </w:rPr>
              <w:tab/>
            </w:r>
            <w:r w:rsidR="00C56413">
              <w:rPr>
                <w:noProof/>
                <w:webHidden/>
              </w:rPr>
              <w:fldChar w:fldCharType="begin"/>
            </w:r>
            <w:r w:rsidR="00C56413">
              <w:rPr>
                <w:noProof/>
                <w:webHidden/>
              </w:rPr>
              <w:instrText xml:space="preserve"> PAGEREF _Toc58575072 \h </w:instrText>
            </w:r>
            <w:r w:rsidR="00C56413">
              <w:rPr>
                <w:noProof/>
                <w:webHidden/>
              </w:rPr>
            </w:r>
            <w:r w:rsidR="00C56413">
              <w:rPr>
                <w:noProof/>
                <w:webHidden/>
              </w:rPr>
              <w:fldChar w:fldCharType="separate"/>
            </w:r>
            <w:r w:rsidR="00C56413">
              <w:rPr>
                <w:noProof/>
                <w:webHidden/>
              </w:rPr>
              <w:t>17</w:t>
            </w:r>
            <w:r w:rsidR="00C56413">
              <w:rPr>
                <w:noProof/>
                <w:webHidden/>
              </w:rPr>
              <w:fldChar w:fldCharType="end"/>
            </w:r>
          </w:hyperlink>
        </w:p>
        <w:p w14:paraId="08A6CEB4" w14:textId="59A4A0BA" w:rsidR="00C56413" w:rsidRDefault="00DD2E2D">
          <w:pPr>
            <w:pStyle w:val="TOC2"/>
            <w:tabs>
              <w:tab w:val="right" w:leader="dot" w:pos="9016"/>
            </w:tabs>
            <w:rPr>
              <w:rFonts w:eastAsiaTheme="minorEastAsia"/>
              <w:noProof/>
              <w:lang w:eastAsia="en-GB"/>
            </w:rPr>
          </w:pPr>
          <w:hyperlink w:anchor="_Toc58575073" w:history="1">
            <w:r w:rsidR="00C56413" w:rsidRPr="00360526">
              <w:rPr>
                <w:rStyle w:val="Hyperlink"/>
                <w:noProof/>
              </w:rPr>
              <w:t>EHCP</w:t>
            </w:r>
            <w:r w:rsidR="00C56413">
              <w:rPr>
                <w:noProof/>
                <w:webHidden/>
              </w:rPr>
              <w:tab/>
            </w:r>
            <w:r w:rsidR="00C56413">
              <w:rPr>
                <w:noProof/>
                <w:webHidden/>
              </w:rPr>
              <w:fldChar w:fldCharType="begin"/>
            </w:r>
            <w:r w:rsidR="00C56413">
              <w:rPr>
                <w:noProof/>
                <w:webHidden/>
              </w:rPr>
              <w:instrText xml:space="preserve"> PAGEREF _Toc58575073 \h </w:instrText>
            </w:r>
            <w:r w:rsidR="00C56413">
              <w:rPr>
                <w:noProof/>
                <w:webHidden/>
              </w:rPr>
            </w:r>
            <w:r w:rsidR="00C56413">
              <w:rPr>
                <w:noProof/>
                <w:webHidden/>
              </w:rPr>
              <w:fldChar w:fldCharType="separate"/>
            </w:r>
            <w:r w:rsidR="00C56413">
              <w:rPr>
                <w:noProof/>
                <w:webHidden/>
              </w:rPr>
              <w:t>17</w:t>
            </w:r>
            <w:r w:rsidR="00C56413">
              <w:rPr>
                <w:noProof/>
                <w:webHidden/>
              </w:rPr>
              <w:fldChar w:fldCharType="end"/>
            </w:r>
          </w:hyperlink>
        </w:p>
        <w:p w14:paraId="02547F46" w14:textId="1465E7C8" w:rsidR="00C56413" w:rsidRDefault="00DD2E2D">
          <w:pPr>
            <w:pStyle w:val="TOC2"/>
            <w:tabs>
              <w:tab w:val="right" w:leader="dot" w:pos="9016"/>
            </w:tabs>
            <w:rPr>
              <w:rFonts w:eastAsiaTheme="minorEastAsia"/>
              <w:noProof/>
              <w:lang w:eastAsia="en-GB"/>
            </w:rPr>
          </w:pPr>
          <w:hyperlink w:anchor="_Toc58575074" w:history="1">
            <w:r w:rsidR="00C56413" w:rsidRPr="00360526">
              <w:rPr>
                <w:rStyle w:val="Hyperlink"/>
                <w:rFonts w:cstheme="majorHAnsi"/>
                <w:noProof/>
              </w:rPr>
              <w:t>SEN-support</w:t>
            </w:r>
            <w:r w:rsidR="00C56413">
              <w:rPr>
                <w:noProof/>
                <w:webHidden/>
              </w:rPr>
              <w:tab/>
            </w:r>
            <w:r w:rsidR="00C56413">
              <w:rPr>
                <w:noProof/>
                <w:webHidden/>
              </w:rPr>
              <w:fldChar w:fldCharType="begin"/>
            </w:r>
            <w:r w:rsidR="00C56413">
              <w:rPr>
                <w:noProof/>
                <w:webHidden/>
              </w:rPr>
              <w:instrText xml:space="preserve"> PAGEREF _Toc58575074 \h </w:instrText>
            </w:r>
            <w:r w:rsidR="00C56413">
              <w:rPr>
                <w:noProof/>
                <w:webHidden/>
              </w:rPr>
            </w:r>
            <w:r w:rsidR="00C56413">
              <w:rPr>
                <w:noProof/>
                <w:webHidden/>
              </w:rPr>
              <w:fldChar w:fldCharType="separate"/>
            </w:r>
            <w:r w:rsidR="00C56413">
              <w:rPr>
                <w:noProof/>
                <w:webHidden/>
              </w:rPr>
              <w:t>18</w:t>
            </w:r>
            <w:r w:rsidR="00C56413">
              <w:rPr>
                <w:noProof/>
                <w:webHidden/>
              </w:rPr>
              <w:fldChar w:fldCharType="end"/>
            </w:r>
          </w:hyperlink>
        </w:p>
        <w:p w14:paraId="7EA35686" w14:textId="094B7464" w:rsidR="00C56413" w:rsidRDefault="00DD2E2D">
          <w:pPr>
            <w:pStyle w:val="TOC2"/>
            <w:tabs>
              <w:tab w:val="right" w:leader="dot" w:pos="9016"/>
            </w:tabs>
            <w:rPr>
              <w:rFonts w:eastAsiaTheme="minorEastAsia"/>
              <w:noProof/>
              <w:lang w:eastAsia="en-GB"/>
            </w:rPr>
          </w:pPr>
          <w:hyperlink w:anchor="_Toc58575075" w:history="1">
            <w:r w:rsidR="00C56413" w:rsidRPr="00360526">
              <w:rPr>
                <w:rStyle w:val="Hyperlink"/>
                <w:rFonts w:cstheme="majorHAnsi"/>
                <w:noProof/>
              </w:rPr>
              <w:t>Early years</w:t>
            </w:r>
            <w:r w:rsidR="00C56413">
              <w:rPr>
                <w:noProof/>
                <w:webHidden/>
              </w:rPr>
              <w:tab/>
            </w:r>
            <w:r w:rsidR="00C56413">
              <w:rPr>
                <w:noProof/>
                <w:webHidden/>
              </w:rPr>
              <w:fldChar w:fldCharType="begin"/>
            </w:r>
            <w:r w:rsidR="00C56413">
              <w:rPr>
                <w:noProof/>
                <w:webHidden/>
              </w:rPr>
              <w:instrText xml:space="preserve"> PAGEREF _Toc58575075 \h </w:instrText>
            </w:r>
            <w:r w:rsidR="00C56413">
              <w:rPr>
                <w:noProof/>
                <w:webHidden/>
              </w:rPr>
            </w:r>
            <w:r w:rsidR="00C56413">
              <w:rPr>
                <w:noProof/>
                <w:webHidden/>
              </w:rPr>
              <w:fldChar w:fldCharType="separate"/>
            </w:r>
            <w:r w:rsidR="00C56413">
              <w:rPr>
                <w:noProof/>
                <w:webHidden/>
              </w:rPr>
              <w:t>20</w:t>
            </w:r>
            <w:r w:rsidR="00C56413">
              <w:rPr>
                <w:noProof/>
                <w:webHidden/>
              </w:rPr>
              <w:fldChar w:fldCharType="end"/>
            </w:r>
          </w:hyperlink>
        </w:p>
        <w:p w14:paraId="5B3B586D" w14:textId="16FBB6EB" w:rsidR="00C56413" w:rsidRDefault="00DD2E2D">
          <w:pPr>
            <w:pStyle w:val="TOC1"/>
            <w:tabs>
              <w:tab w:val="right" w:leader="dot" w:pos="9016"/>
            </w:tabs>
            <w:rPr>
              <w:rFonts w:eastAsiaTheme="minorEastAsia"/>
              <w:noProof/>
              <w:lang w:eastAsia="en-GB"/>
            </w:rPr>
          </w:pPr>
          <w:hyperlink w:anchor="_Toc58575076" w:history="1">
            <w:r w:rsidR="00C56413" w:rsidRPr="00360526">
              <w:rPr>
                <w:rStyle w:val="Hyperlink"/>
                <w:rFonts w:cstheme="majorHAnsi"/>
                <w:b/>
                <w:noProof/>
              </w:rPr>
              <w:t>Geography and Population Demographics</w:t>
            </w:r>
            <w:r w:rsidR="00C56413">
              <w:rPr>
                <w:noProof/>
                <w:webHidden/>
              </w:rPr>
              <w:tab/>
            </w:r>
            <w:r w:rsidR="00C56413">
              <w:rPr>
                <w:noProof/>
                <w:webHidden/>
              </w:rPr>
              <w:fldChar w:fldCharType="begin"/>
            </w:r>
            <w:r w:rsidR="00C56413">
              <w:rPr>
                <w:noProof/>
                <w:webHidden/>
              </w:rPr>
              <w:instrText xml:space="preserve"> PAGEREF _Toc58575076 \h </w:instrText>
            </w:r>
            <w:r w:rsidR="00C56413">
              <w:rPr>
                <w:noProof/>
                <w:webHidden/>
              </w:rPr>
            </w:r>
            <w:r w:rsidR="00C56413">
              <w:rPr>
                <w:noProof/>
                <w:webHidden/>
              </w:rPr>
              <w:fldChar w:fldCharType="separate"/>
            </w:r>
            <w:r w:rsidR="00C56413">
              <w:rPr>
                <w:noProof/>
                <w:webHidden/>
              </w:rPr>
              <w:t>21</w:t>
            </w:r>
            <w:r w:rsidR="00C56413">
              <w:rPr>
                <w:noProof/>
                <w:webHidden/>
              </w:rPr>
              <w:fldChar w:fldCharType="end"/>
            </w:r>
          </w:hyperlink>
        </w:p>
        <w:p w14:paraId="0EBC4736" w14:textId="59CDDC54" w:rsidR="00C56413" w:rsidRDefault="00DD2E2D">
          <w:pPr>
            <w:pStyle w:val="TOC2"/>
            <w:tabs>
              <w:tab w:val="right" w:leader="dot" w:pos="9016"/>
            </w:tabs>
            <w:rPr>
              <w:rFonts w:eastAsiaTheme="minorEastAsia"/>
              <w:noProof/>
              <w:lang w:eastAsia="en-GB"/>
            </w:rPr>
          </w:pPr>
          <w:hyperlink w:anchor="_Toc58575077" w:history="1">
            <w:r w:rsidR="00C56413" w:rsidRPr="00360526">
              <w:rPr>
                <w:rStyle w:val="Hyperlink"/>
                <w:rFonts w:cstheme="majorHAnsi"/>
                <w:noProof/>
              </w:rPr>
              <w:t>School specific prevalence of need</w:t>
            </w:r>
            <w:r w:rsidR="00C56413">
              <w:rPr>
                <w:noProof/>
                <w:webHidden/>
              </w:rPr>
              <w:tab/>
            </w:r>
            <w:r w:rsidR="00C56413">
              <w:rPr>
                <w:noProof/>
                <w:webHidden/>
              </w:rPr>
              <w:fldChar w:fldCharType="begin"/>
            </w:r>
            <w:r w:rsidR="00C56413">
              <w:rPr>
                <w:noProof/>
                <w:webHidden/>
              </w:rPr>
              <w:instrText xml:space="preserve"> PAGEREF _Toc58575077 \h </w:instrText>
            </w:r>
            <w:r w:rsidR="00C56413">
              <w:rPr>
                <w:noProof/>
                <w:webHidden/>
              </w:rPr>
            </w:r>
            <w:r w:rsidR="00C56413">
              <w:rPr>
                <w:noProof/>
                <w:webHidden/>
              </w:rPr>
              <w:fldChar w:fldCharType="separate"/>
            </w:r>
            <w:r w:rsidR="00C56413">
              <w:rPr>
                <w:noProof/>
                <w:webHidden/>
              </w:rPr>
              <w:t>21</w:t>
            </w:r>
            <w:r w:rsidR="00C56413">
              <w:rPr>
                <w:noProof/>
                <w:webHidden/>
              </w:rPr>
              <w:fldChar w:fldCharType="end"/>
            </w:r>
          </w:hyperlink>
        </w:p>
        <w:p w14:paraId="68048E86" w14:textId="3484EC0B" w:rsidR="00C56413" w:rsidRDefault="00DD2E2D">
          <w:pPr>
            <w:pStyle w:val="TOC2"/>
            <w:tabs>
              <w:tab w:val="right" w:leader="dot" w:pos="9016"/>
            </w:tabs>
            <w:rPr>
              <w:rFonts w:eastAsiaTheme="minorEastAsia"/>
              <w:noProof/>
              <w:lang w:eastAsia="en-GB"/>
            </w:rPr>
          </w:pPr>
          <w:hyperlink w:anchor="_Toc58575078" w:history="1">
            <w:r w:rsidR="00C56413" w:rsidRPr="00360526">
              <w:rPr>
                <w:rStyle w:val="Hyperlink"/>
                <w:rFonts w:cstheme="majorHAnsi"/>
                <w:noProof/>
              </w:rPr>
              <w:t>Free school meals and SEND</w:t>
            </w:r>
            <w:r w:rsidR="00C56413">
              <w:rPr>
                <w:noProof/>
                <w:webHidden/>
              </w:rPr>
              <w:tab/>
            </w:r>
            <w:r w:rsidR="00C56413">
              <w:rPr>
                <w:noProof/>
                <w:webHidden/>
              </w:rPr>
              <w:fldChar w:fldCharType="begin"/>
            </w:r>
            <w:r w:rsidR="00C56413">
              <w:rPr>
                <w:noProof/>
                <w:webHidden/>
              </w:rPr>
              <w:instrText xml:space="preserve"> PAGEREF _Toc58575078 \h </w:instrText>
            </w:r>
            <w:r w:rsidR="00C56413">
              <w:rPr>
                <w:noProof/>
                <w:webHidden/>
              </w:rPr>
            </w:r>
            <w:r w:rsidR="00C56413">
              <w:rPr>
                <w:noProof/>
                <w:webHidden/>
              </w:rPr>
              <w:fldChar w:fldCharType="separate"/>
            </w:r>
            <w:r w:rsidR="00C56413">
              <w:rPr>
                <w:noProof/>
                <w:webHidden/>
              </w:rPr>
              <w:t>23</w:t>
            </w:r>
            <w:r w:rsidR="00C56413">
              <w:rPr>
                <w:noProof/>
                <w:webHidden/>
              </w:rPr>
              <w:fldChar w:fldCharType="end"/>
            </w:r>
          </w:hyperlink>
        </w:p>
        <w:p w14:paraId="11DC9575" w14:textId="59AEF95F" w:rsidR="00C56413" w:rsidRDefault="00DD2E2D">
          <w:pPr>
            <w:pStyle w:val="TOC2"/>
            <w:tabs>
              <w:tab w:val="right" w:leader="dot" w:pos="9016"/>
            </w:tabs>
            <w:rPr>
              <w:rFonts w:eastAsiaTheme="minorEastAsia"/>
              <w:noProof/>
              <w:lang w:eastAsia="en-GB"/>
            </w:rPr>
          </w:pPr>
          <w:hyperlink w:anchor="_Toc58575079" w:history="1">
            <w:r w:rsidR="00C56413" w:rsidRPr="00360526">
              <w:rPr>
                <w:rStyle w:val="Hyperlink"/>
                <w:rFonts w:cstheme="majorHAnsi"/>
                <w:noProof/>
              </w:rPr>
              <w:t>Neighbourhood deprivation and SEND</w:t>
            </w:r>
            <w:r w:rsidR="00C56413">
              <w:rPr>
                <w:noProof/>
                <w:webHidden/>
              </w:rPr>
              <w:tab/>
            </w:r>
            <w:r w:rsidR="00C56413">
              <w:rPr>
                <w:noProof/>
                <w:webHidden/>
              </w:rPr>
              <w:fldChar w:fldCharType="begin"/>
            </w:r>
            <w:r w:rsidR="00C56413">
              <w:rPr>
                <w:noProof/>
                <w:webHidden/>
              </w:rPr>
              <w:instrText xml:space="preserve"> PAGEREF _Toc58575079 \h </w:instrText>
            </w:r>
            <w:r w:rsidR="00C56413">
              <w:rPr>
                <w:noProof/>
                <w:webHidden/>
              </w:rPr>
            </w:r>
            <w:r w:rsidR="00C56413">
              <w:rPr>
                <w:noProof/>
                <w:webHidden/>
              </w:rPr>
              <w:fldChar w:fldCharType="separate"/>
            </w:r>
            <w:r w:rsidR="00C56413">
              <w:rPr>
                <w:noProof/>
                <w:webHidden/>
              </w:rPr>
              <w:t>24</w:t>
            </w:r>
            <w:r w:rsidR="00C56413">
              <w:rPr>
                <w:noProof/>
                <w:webHidden/>
              </w:rPr>
              <w:fldChar w:fldCharType="end"/>
            </w:r>
          </w:hyperlink>
        </w:p>
        <w:p w14:paraId="565E56C2" w14:textId="23832D02" w:rsidR="00C56413" w:rsidRDefault="00DD2E2D">
          <w:pPr>
            <w:pStyle w:val="TOC2"/>
            <w:tabs>
              <w:tab w:val="right" w:leader="dot" w:pos="9016"/>
            </w:tabs>
            <w:rPr>
              <w:rFonts w:eastAsiaTheme="minorEastAsia"/>
              <w:noProof/>
              <w:lang w:eastAsia="en-GB"/>
            </w:rPr>
          </w:pPr>
          <w:hyperlink w:anchor="_Toc58575080" w:history="1">
            <w:r w:rsidR="00C56413" w:rsidRPr="00360526">
              <w:rPr>
                <w:rStyle w:val="Hyperlink"/>
                <w:rFonts w:cstheme="majorHAnsi"/>
                <w:noProof/>
              </w:rPr>
              <w:t>Children and young people who go to school in a different area to where they live</w:t>
            </w:r>
            <w:r w:rsidR="00C56413">
              <w:rPr>
                <w:noProof/>
                <w:webHidden/>
              </w:rPr>
              <w:tab/>
            </w:r>
            <w:r w:rsidR="00C56413">
              <w:rPr>
                <w:noProof/>
                <w:webHidden/>
              </w:rPr>
              <w:fldChar w:fldCharType="begin"/>
            </w:r>
            <w:r w:rsidR="00C56413">
              <w:rPr>
                <w:noProof/>
                <w:webHidden/>
              </w:rPr>
              <w:instrText xml:space="preserve"> PAGEREF _Toc58575080 \h </w:instrText>
            </w:r>
            <w:r w:rsidR="00C56413">
              <w:rPr>
                <w:noProof/>
                <w:webHidden/>
              </w:rPr>
            </w:r>
            <w:r w:rsidR="00C56413">
              <w:rPr>
                <w:noProof/>
                <w:webHidden/>
              </w:rPr>
              <w:fldChar w:fldCharType="separate"/>
            </w:r>
            <w:r w:rsidR="00C56413">
              <w:rPr>
                <w:noProof/>
                <w:webHidden/>
              </w:rPr>
              <w:t>24</w:t>
            </w:r>
            <w:r w:rsidR="00C56413">
              <w:rPr>
                <w:noProof/>
                <w:webHidden/>
              </w:rPr>
              <w:fldChar w:fldCharType="end"/>
            </w:r>
          </w:hyperlink>
        </w:p>
        <w:p w14:paraId="7C334596" w14:textId="367B22CB" w:rsidR="00C56413" w:rsidRDefault="00DD2E2D">
          <w:pPr>
            <w:pStyle w:val="TOC2"/>
            <w:tabs>
              <w:tab w:val="right" w:leader="dot" w:pos="9016"/>
            </w:tabs>
            <w:rPr>
              <w:rFonts w:eastAsiaTheme="minorEastAsia"/>
              <w:noProof/>
              <w:lang w:eastAsia="en-GB"/>
            </w:rPr>
          </w:pPr>
          <w:hyperlink w:anchor="_Toc58575081" w:history="1">
            <w:r w:rsidR="00C56413" w:rsidRPr="00360526">
              <w:rPr>
                <w:rStyle w:val="Hyperlink"/>
                <w:rFonts w:cstheme="majorHAnsi"/>
                <w:noProof/>
              </w:rPr>
              <w:t>Engagement with parents and families</w:t>
            </w:r>
            <w:r w:rsidR="00C56413">
              <w:rPr>
                <w:noProof/>
                <w:webHidden/>
              </w:rPr>
              <w:tab/>
            </w:r>
            <w:r w:rsidR="00C56413">
              <w:rPr>
                <w:noProof/>
                <w:webHidden/>
              </w:rPr>
              <w:fldChar w:fldCharType="begin"/>
            </w:r>
            <w:r w:rsidR="00C56413">
              <w:rPr>
                <w:noProof/>
                <w:webHidden/>
              </w:rPr>
              <w:instrText xml:space="preserve"> PAGEREF _Toc58575081 \h </w:instrText>
            </w:r>
            <w:r w:rsidR="00C56413">
              <w:rPr>
                <w:noProof/>
                <w:webHidden/>
              </w:rPr>
            </w:r>
            <w:r w:rsidR="00C56413">
              <w:rPr>
                <w:noProof/>
                <w:webHidden/>
              </w:rPr>
              <w:fldChar w:fldCharType="separate"/>
            </w:r>
            <w:r w:rsidR="00C56413">
              <w:rPr>
                <w:noProof/>
                <w:webHidden/>
              </w:rPr>
              <w:t>25</w:t>
            </w:r>
            <w:r w:rsidR="00C56413">
              <w:rPr>
                <w:noProof/>
                <w:webHidden/>
              </w:rPr>
              <w:fldChar w:fldCharType="end"/>
            </w:r>
          </w:hyperlink>
        </w:p>
        <w:p w14:paraId="56018806" w14:textId="6173F5B6" w:rsidR="00C56413" w:rsidRDefault="00DD2E2D">
          <w:pPr>
            <w:pStyle w:val="TOC1"/>
            <w:tabs>
              <w:tab w:val="right" w:leader="dot" w:pos="9016"/>
            </w:tabs>
            <w:rPr>
              <w:rFonts w:eastAsiaTheme="minorEastAsia"/>
              <w:noProof/>
              <w:lang w:eastAsia="en-GB"/>
            </w:rPr>
          </w:pPr>
          <w:hyperlink w:anchor="_Toc58575082" w:history="1">
            <w:r w:rsidR="00C56413" w:rsidRPr="00360526">
              <w:rPr>
                <w:rStyle w:val="Hyperlink"/>
                <w:rFonts w:cstheme="majorHAnsi"/>
                <w:b/>
                <w:noProof/>
              </w:rPr>
              <w:t>Outcomes</w:t>
            </w:r>
            <w:r w:rsidR="00C56413">
              <w:rPr>
                <w:noProof/>
                <w:webHidden/>
              </w:rPr>
              <w:tab/>
            </w:r>
            <w:r w:rsidR="00C56413">
              <w:rPr>
                <w:noProof/>
                <w:webHidden/>
              </w:rPr>
              <w:fldChar w:fldCharType="begin"/>
            </w:r>
            <w:r w:rsidR="00C56413">
              <w:rPr>
                <w:noProof/>
                <w:webHidden/>
              </w:rPr>
              <w:instrText xml:space="preserve"> PAGEREF _Toc58575082 \h </w:instrText>
            </w:r>
            <w:r w:rsidR="00C56413">
              <w:rPr>
                <w:noProof/>
                <w:webHidden/>
              </w:rPr>
            </w:r>
            <w:r w:rsidR="00C56413">
              <w:rPr>
                <w:noProof/>
                <w:webHidden/>
              </w:rPr>
              <w:fldChar w:fldCharType="separate"/>
            </w:r>
            <w:r w:rsidR="00C56413">
              <w:rPr>
                <w:noProof/>
                <w:webHidden/>
              </w:rPr>
              <w:t>26</w:t>
            </w:r>
            <w:r w:rsidR="00C56413">
              <w:rPr>
                <w:noProof/>
                <w:webHidden/>
              </w:rPr>
              <w:fldChar w:fldCharType="end"/>
            </w:r>
          </w:hyperlink>
        </w:p>
        <w:p w14:paraId="13CC23D3" w14:textId="591FD3AB" w:rsidR="00C56413" w:rsidRDefault="00DD2E2D">
          <w:pPr>
            <w:pStyle w:val="TOC2"/>
            <w:tabs>
              <w:tab w:val="right" w:leader="dot" w:pos="9016"/>
            </w:tabs>
            <w:rPr>
              <w:rFonts w:eastAsiaTheme="minorEastAsia"/>
              <w:noProof/>
              <w:lang w:eastAsia="en-GB"/>
            </w:rPr>
          </w:pPr>
          <w:hyperlink w:anchor="_Toc58575083" w:history="1">
            <w:r w:rsidR="00C56413" w:rsidRPr="00360526">
              <w:rPr>
                <w:rStyle w:val="Hyperlink"/>
                <w:rFonts w:cstheme="majorHAnsi"/>
                <w:noProof/>
              </w:rPr>
              <w:t>School Readiness</w:t>
            </w:r>
            <w:r w:rsidR="00C56413">
              <w:rPr>
                <w:noProof/>
                <w:webHidden/>
              </w:rPr>
              <w:tab/>
            </w:r>
            <w:r w:rsidR="00C56413">
              <w:rPr>
                <w:noProof/>
                <w:webHidden/>
              </w:rPr>
              <w:fldChar w:fldCharType="begin"/>
            </w:r>
            <w:r w:rsidR="00C56413">
              <w:rPr>
                <w:noProof/>
                <w:webHidden/>
              </w:rPr>
              <w:instrText xml:space="preserve"> PAGEREF _Toc58575083 \h </w:instrText>
            </w:r>
            <w:r w:rsidR="00C56413">
              <w:rPr>
                <w:noProof/>
                <w:webHidden/>
              </w:rPr>
            </w:r>
            <w:r w:rsidR="00C56413">
              <w:rPr>
                <w:noProof/>
                <w:webHidden/>
              </w:rPr>
              <w:fldChar w:fldCharType="separate"/>
            </w:r>
            <w:r w:rsidR="00C56413">
              <w:rPr>
                <w:noProof/>
                <w:webHidden/>
              </w:rPr>
              <w:t>26</w:t>
            </w:r>
            <w:r w:rsidR="00C56413">
              <w:rPr>
                <w:noProof/>
                <w:webHidden/>
              </w:rPr>
              <w:fldChar w:fldCharType="end"/>
            </w:r>
          </w:hyperlink>
        </w:p>
        <w:p w14:paraId="198720BC" w14:textId="702F19D8" w:rsidR="00C56413" w:rsidRDefault="00DD2E2D">
          <w:pPr>
            <w:pStyle w:val="TOC2"/>
            <w:tabs>
              <w:tab w:val="right" w:leader="dot" w:pos="9016"/>
            </w:tabs>
            <w:rPr>
              <w:rFonts w:eastAsiaTheme="minorEastAsia"/>
              <w:noProof/>
              <w:lang w:eastAsia="en-GB"/>
            </w:rPr>
          </w:pPr>
          <w:hyperlink w:anchor="_Toc58575084" w:history="1">
            <w:r w:rsidR="00C56413" w:rsidRPr="00360526">
              <w:rPr>
                <w:rStyle w:val="Hyperlink"/>
                <w:rFonts w:cstheme="majorHAnsi"/>
                <w:noProof/>
              </w:rPr>
              <w:t>Attainment 8</w:t>
            </w:r>
            <w:r w:rsidR="00C56413">
              <w:rPr>
                <w:noProof/>
                <w:webHidden/>
              </w:rPr>
              <w:tab/>
            </w:r>
            <w:r w:rsidR="00C56413">
              <w:rPr>
                <w:noProof/>
                <w:webHidden/>
              </w:rPr>
              <w:fldChar w:fldCharType="begin"/>
            </w:r>
            <w:r w:rsidR="00C56413">
              <w:rPr>
                <w:noProof/>
                <w:webHidden/>
              </w:rPr>
              <w:instrText xml:space="preserve"> PAGEREF _Toc58575084 \h </w:instrText>
            </w:r>
            <w:r w:rsidR="00C56413">
              <w:rPr>
                <w:noProof/>
                <w:webHidden/>
              </w:rPr>
            </w:r>
            <w:r w:rsidR="00C56413">
              <w:rPr>
                <w:noProof/>
                <w:webHidden/>
              </w:rPr>
              <w:fldChar w:fldCharType="separate"/>
            </w:r>
            <w:r w:rsidR="00C56413">
              <w:rPr>
                <w:noProof/>
                <w:webHidden/>
              </w:rPr>
              <w:t>26</w:t>
            </w:r>
            <w:r w:rsidR="00C56413">
              <w:rPr>
                <w:noProof/>
                <w:webHidden/>
              </w:rPr>
              <w:fldChar w:fldCharType="end"/>
            </w:r>
          </w:hyperlink>
        </w:p>
        <w:p w14:paraId="6FFF7FEB" w14:textId="1DFF2D39" w:rsidR="00C56413" w:rsidRDefault="00DD2E2D">
          <w:pPr>
            <w:pStyle w:val="TOC2"/>
            <w:tabs>
              <w:tab w:val="right" w:leader="dot" w:pos="9016"/>
            </w:tabs>
            <w:rPr>
              <w:rFonts w:eastAsiaTheme="minorEastAsia"/>
              <w:noProof/>
              <w:lang w:eastAsia="en-GB"/>
            </w:rPr>
          </w:pPr>
          <w:hyperlink w:anchor="_Toc58575085" w:history="1">
            <w:r w:rsidR="00C56413" w:rsidRPr="00360526">
              <w:rPr>
                <w:rStyle w:val="Hyperlink"/>
                <w:rFonts w:cstheme="majorHAnsi"/>
                <w:noProof/>
              </w:rPr>
              <w:t>Progress 8</w:t>
            </w:r>
            <w:r w:rsidR="00C56413">
              <w:rPr>
                <w:noProof/>
                <w:webHidden/>
              </w:rPr>
              <w:tab/>
            </w:r>
            <w:r w:rsidR="00C56413">
              <w:rPr>
                <w:noProof/>
                <w:webHidden/>
              </w:rPr>
              <w:fldChar w:fldCharType="begin"/>
            </w:r>
            <w:r w:rsidR="00C56413">
              <w:rPr>
                <w:noProof/>
                <w:webHidden/>
              </w:rPr>
              <w:instrText xml:space="preserve"> PAGEREF _Toc58575085 \h </w:instrText>
            </w:r>
            <w:r w:rsidR="00C56413">
              <w:rPr>
                <w:noProof/>
                <w:webHidden/>
              </w:rPr>
            </w:r>
            <w:r w:rsidR="00C56413">
              <w:rPr>
                <w:noProof/>
                <w:webHidden/>
              </w:rPr>
              <w:fldChar w:fldCharType="separate"/>
            </w:r>
            <w:r w:rsidR="00C56413">
              <w:rPr>
                <w:noProof/>
                <w:webHidden/>
              </w:rPr>
              <w:t>27</w:t>
            </w:r>
            <w:r w:rsidR="00C56413">
              <w:rPr>
                <w:noProof/>
                <w:webHidden/>
              </w:rPr>
              <w:fldChar w:fldCharType="end"/>
            </w:r>
          </w:hyperlink>
        </w:p>
        <w:p w14:paraId="37DB6058" w14:textId="61CB5FD9" w:rsidR="00C56413" w:rsidRDefault="00DD2E2D">
          <w:pPr>
            <w:pStyle w:val="TOC2"/>
            <w:tabs>
              <w:tab w:val="right" w:leader="dot" w:pos="9016"/>
            </w:tabs>
            <w:rPr>
              <w:rFonts w:eastAsiaTheme="minorEastAsia"/>
              <w:noProof/>
              <w:lang w:eastAsia="en-GB"/>
            </w:rPr>
          </w:pPr>
          <w:hyperlink w:anchor="_Toc58575086" w:history="1">
            <w:r w:rsidR="00C56413" w:rsidRPr="00360526">
              <w:rPr>
                <w:rStyle w:val="Hyperlink"/>
                <w:rFonts w:cstheme="majorHAnsi"/>
                <w:noProof/>
              </w:rPr>
              <w:t>Absences</w:t>
            </w:r>
            <w:r w:rsidR="00C56413">
              <w:rPr>
                <w:noProof/>
                <w:webHidden/>
              </w:rPr>
              <w:tab/>
            </w:r>
            <w:r w:rsidR="00C56413">
              <w:rPr>
                <w:noProof/>
                <w:webHidden/>
              </w:rPr>
              <w:fldChar w:fldCharType="begin"/>
            </w:r>
            <w:r w:rsidR="00C56413">
              <w:rPr>
                <w:noProof/>
                <w:webHidden/>
              </w:rPr>
              <w:instrText xml:space="preserve"> PAGEREF _Toc58575086 \h </w:instrText>
            </w:r>
            <w:r w:rsidR="00C56413">
              <w:rPr>
                <w:noProof/>
                <w:webHidden/>
              </w:rPr>
            </w:r>
            <w:r w:rsidR="00C56413">
              <w:rPr>
                <w:noProof/>
                <w:webHidden/>
              </w:rPr>
              <w:fldChar w:fldCharType="separate"/>
            </w:r>
            <w:r w:rsidR="00C56413">
              <w:rPr>
                <w:noProof/>
                <w:webHidden/>
              </w:rPr>
              <w:t>28</w:t>
            </w:r>
            <w:r w:rsidR="00C56413">
              <w:rPr>
                <w:noProof/>
                <w:webHidden/>
              </w:rPr>
              <w:fldChar w:fldCharType="end"/>
            </w:r>
          </w:hyperlink>
        </w:p>
        <w:p w14:paraId="760BE11D" w14:textId="22DD3AC1" w:rsidR="00C56413" w:rsidRDefault="00DD2E2D">
          <w:pPr>
            <w:pStyle w:val="TOC1"/>
            <w:tabs>
              <w:tab w:val="right" w:leader="dot" w:pos="9016"/>
            </w:tabs>
            <w:rPr>
              <w:rFonts w:eastAsiaTheme="minorEastAsia"/>
              <w:noProof/>
              <w:lang w:eastAsia="en-GB"/>
            </w:rPr>
          </w:pPr>
          <w:hyperlink w:anchor="_Toc58575087" w:history="1">
            <w:r w:rsidR="00C56413" w:rsidRPr="00360526">
              <w:rPr>
                <w:rStyle w:val="Hyperlink"/>
                <w:rFonts w:cstheme="majorHAnsi"/>
                <w:b/>
                <w:noProof/>
              </w:rPr>
              <w:t>Health and healthcare for children and young people with special educational needs and disabilities</w:t>
            </w:r>
            <w:r w:rsidR="00C56413">
              <w:rPr>
                <w:noProof/>
                <w:webHidden/>
              </w:rPr>
              <w:tab/>
            </w:r>
            <w:r w:rsidR="00C56413">
              <w:rPr>
                <w:noProof/>
                <w:webHidden/>
              </w:rPr>
              <w:fldChar w:fldCharType="begin"/>
            </w:r>
            <w:r w:rsidR="00C56413">
              <w:rPr>
                <w:noProof/>
                <w:webHidden/>
              </w:rPr>
              <w:instrText xml:space="preserve"> PAGEREF _Toc58575087 \h </w:instrText>
            </w:r>
            <w:r w:rsidR="00C56413">
              <w:rPr>
                <w:noProof/>
                <w:webHidden/>
              </w:rPr>
            </w:r>
            <w:r w:rsidR="00C56413">
              <w:rPr>
                <w:noProof/>
                <w:webHidden/>
              </w:rPr>
              <w:fldChar w:fldCharType="separate"/>
            </w:r>
            <w:r w:rsidR="00C56413">
              <w:rPr>
                <w:noProof/>
                <w:webHidden/>
              </w:rPr>
              <w:t>29</w:t>
            </w:r>
            <w:r w:rsidR="00C56413">
              <w:rPr>
                <w:noProof/>
                <w:webHidden/>
              </w:rPr>
              <w:fldChar w:fldCharType="end"/>
            </w:r>
          </w:hyperlink>
        </w:p>
        <w:p w14:paraId="40C80AE0" w14:textId="5F293616" w:rsidR="00C56413" w:rsidRDefault="00DD2E2D">
          <w:pPr>
            <w:pStyle w:val="TOC2"/>
            <w:tabs>
              <w:tab w:val="right" w:leader="dot" w:pos="9016"/>
            </w:tabs>
            <w:rPr>
              <w:rFonts w:eastAsiaTheme="minorEastAsia"/>
              <w:noProof/>
              <w:lang w:eastAsia="en-GB"/>
            </w:rPr>
          </w:pPr>
          <w:hyperlink w:anchor="_Toc58575088" w:history="1">
            <w:r w:rsidR="00C56413" w:rsidRPr="00360526">
              <w:rPr>
                <w:rStyle w:val="Hyperlink"/>
                <w:rFonts w:cstheme="majorHAnsi"/>
                <w:noProof/>
              </w:rPr>
              <w:t>Primary Health Care</w:t>
            </w:r>
            <w:r w:rsidR="00C56413">
              <w:rPr>
                <w:noProof/>
                <w:webHidden/>
              </w:rPr>
              <w:tab/>
            </w:r>
            <w:r w:rsidR="00C56413">
              <w:rPr>
                <w:noProof/>
                <w:webHidden/>
              </w:rPr>
              <w:fldChar w:fldCharType="begin"/>
            </w:r>
            <w:r w:rsidR="00C56413">
              <w:rPr>
                <w:noProof/>
                <w:webHidden/>
              </w:rPr>
              <w:instrText xml:space="preserve"> PAGEREF _Toc58575088 \h </w:instrText>
            </w:r>
            <w:r w:rsidR="00C56413">
              <w:rPr>
                <w:noProof/>
                <w:webHidden/>
              </w:rPr>
            </w:r>
            <w:r w:rsidR="00C56413">
              <w:rPr>
                <w:noProof/>
                <w:webHidden/>
              </w:rPr>
              <w:fldChar w:fldCharType="separate"/>
            </w:r>
            <w:r w:rsidR="00C56413">
              <w:rPr>
                <w:noProof/>
                <w:webHidden/>
              </w:rPr>
              <w:t>29</w:t>
            </w:r>
            <w:r w:rsidR="00C56413">
              <w:rPr>
                <w:noProof/>
                <w:webHidden/>
              </w:rPr>
              <w:fldChar w:fldCharType="end"/>
            </w:r>
          </w:hyperlink>
        </w:p>
        <w:p w14:paraId="5555F83C" w14:textId="5D6AD2A2" w:rsidR="00C56413" w:rsidRDefault="00DD2E2D">
          <w:pPr>
            <w:pStyle w:val="TOC2"/>
            <w:tabs>
              <w:tab w:val="right" w:leader="dot" w:pos="9016"/>
            </w:tabs>
            <w:rPr>
              <w:rFonts w:eastAsiaTheme="minorEastAsia"/>
              <w:noProof/>
              <w:lang w:eastAsia="en-GB"/>
            </w:rPr>
          </w:pPr>
          <w:hyperlink w:anchor="_Toc58575089" w:history="1">
            <w:r w:rsidR="00C56413" w:rsidRPr="00360526">
              <w:rPr>
                <w:rStyle w:val="Hyperlink"/>
                <w:rFonts w:cstheme="majorHAnsi"/>
                <w:noProof/>
              </w:rPr>
              <w:t>Secondary Physical Health Care</w:t>
            </w:r>
            <w:r w:rsidR="00C56413">
              <w:rPr>
                <w:noProof/>
                <w:webHidden/>
              </w:rPr>
              <w:tab/>
            </w:r>
            <w:r w:rsidR="00C56413">
              <w:rPr>
                <w:noProof/>
                <w:webHidden/>
              </w:rPr>
              <w:fldChar w:fldCharType="begin"/>
            </w:r>
            <w:r w:rsidR="00C56413">
              <w:rPr>
                <w:noProof/>
                <w:webHidden/>
              </w:rPr>
              <w:instrText xml:space="preserve"> PAGEREF _Toc58575089 \h </w:instrText>
            </w:r>
            <w:r w:rsidR="00C56413">
              <w:rPr>
                <w:noProof/>
                <w:webHidden/>
              </w:rPr>
            </w:r>
            <w:r w:rsidR="00C56413">
              <w:rPr>
                <w:noProof/>
                <w:webHidden/>
              </w:rPr>
              <w:fldChar w:fldCharType="separate"/>
            </w:r>
            <w:r w:rsidR="00C56413">
              <w:rPr>
                <w:noProof/>
                <w:webHidden/>
              </w:rPr>
              <w:t>30</w:t>
            </w:r>
            <w:r w:rsidR="00C56413">
              <w:rPr>
                <w:noProof/>
                <w:webHidden/>
              </w:rPr>
              <w:fldChar w:fldCharType="end"/>
            </w:r>
          </w:hyperlink>
        </w:p>
        <w:p w14:paraId="5E20ECDD" w14:textId="43C81FD0" w:rsidR="00C56413" w:rsidRDefault="00DD2E2D">
          <w:pPr>
            <w:pStyle w:val="TOC2"/>
            <w:tabs>
              <w:tab w:val="right" w:leader="dot" w:pos="9016"/>
            </w:tabs>
            <w:rPr>
              <w:rFonts w:eastAsiaTheme="minorEastAsia"/>
              <w:noProof/>
              <w:lang w:eastAsia="en-GB"/>
            </w:rPr>
          </w:pPr>
          <w:hyperlink w:anchor="_Toc58575090" w:history="1">
            <w:r w:rsidR="00C56413" w:rsidRPr="00360526">
              <w:rPr>
                <w:rStyle w:val="Hyperlink"/>
                <w:rFonts w:cstheme="majorHAnsi"/>
                <w:noProof/>
              </w:rPr>
              <w:t>Early Help</w:t>
            </w:r>
            <w:r w:rsidR="00C56413">
              <w:rPr>
                <w:noProof/>
                <w:webHidden/>
              </w:rPr>
              <w:tab/>
            </w:r>
            <w:r w:rsidR="00C56413">
              <w:rPr>
                <w:noProof/>
                <w:webHidden/>
              </w:rPr>
              <w:fldChar w:fldCharType="begin"/>
            </w:r>
            <w:r w:rsidR="00C56413">
              <w:rPr>
                <w:noProof/>
                <w:webHidden/>
              </w:rPr>
              <w:instrText xml:space="preserve"> PAGEREF _Toc58575090 \h </w:instrText>
            </w:r>
            <w:r w:rsidR="00C56413">
              <w:rPr>
                <w:noProof/>
                <w:webHidden/>
              </w:rPr>
            </w:r>
            <w:r w:rsidR="00C56413">
              <w:rPr>
                <w:noProof/>
                <w:webHidden/>
              </w:rPr>
              <w:fldChar w:fldCharType="separate"/>
            </w:r>
            <w:r w:rsidR="00C56413">
              <w:rPr>
                <w:noProof/>
                <w:webHidden/>
              </w:rPr>
              <w:t>31</w:t>
            </w:r>
            <w:r w:rsidR="00C56413">
              <w:rPr>
                <w:noProof/>
                <w:webHidden/>
              </w:rPr>
              <w:fldChar w:fldCharType="end"/>
            </w:r>
          </w:hyperlink>
        </w:p>
        <w:p w14:paraId="302BB6AC" w14:textId="49B3C897" w:rsidR="00C56413" w:rsidRDefault="00DD2E2D">
          <w:pPr>
            <w:pStyle w:val="TOC2"/>
            <w:tabs>
              <w:tab w:val="right" w:leader="dot" w:pos="9016"/>
            </w:tabs>
            <w:rPr>
              <w:rFonts w:eastAsiaTheme="minorEastAsia"/>
              <w:noProof/>
              <w:lang w:eastAsia="en-GB"/>
            </w:rPr>
          </w:pPr>
          <w:hyperlink w:anchor="_Toc58575091" w:history="1">
            <w:r w:rsidR="00C56413" w:rsidRPr="00360526">
              <w:rPr>
                <w:rStyle w:val="Hyperlink"/>
                <w:rFonts w:cstheme="majorHAnsi"/>
                <w:noProof/>
              </w:rPr>
              <w:t>Secondary Mental Health Care</w:t>
            </w:r>
            <w:r w:rsidR="00C56413">
              <w:rPr>
                <w:noProof/>
                <w:webHidden/>
              </w:rPr>
              <w:tab/>
            </w:r>
            <w:r w:rsidR="00C56413">
              <w:rPr>
                <w:noProof/>
                <w:webHidden/>
              </w:rPr>
              <w:fldChar w:fldCharType="begin"/>
            </w:r>
            <w:r w:rsidR="00C56413">
              <w:rPr>
                <w:noProof/>
                <w:webHidden/>
              </w:rPr>
              <w:instrText xml:space="preserve"> PAGEREF _Toc58575091 \h </w:instrText>
            </w:r>
            <w:r w:rsidR="00C56413">
              <w:rPr>
                <w:noProof/>
                <w:webHidden/>
              </w:rPr>
            </w:r>
            <w:r w:rsidR="00C56413">
              <w:rPr>
                <w:noProof/>
                <w:webHidden/>
              </w:rPr>
              <w:fldChar w:fldCharType="separate"/>
            </w:r>
            <w:r w:rsidR="00C56413">
              <w:rPr>
                <w:noProof/>
                <w:webHidden/>
              </w:rPr>
              <w:t>32</w:t>
            </w:r>
            <w:r w:rsidR="00C56413">
              <w:rPr>
                <w:noProof/>
                <w:webHidden/>
              </w:rPr>
              <w:fldChar w:fldCharType="end"/>
            </w:r>
          </w:hyperlink>
        </w:p>
        <w:p w14:paraId="180BBCE7" w14:textId="20F6E1E1" w:rsidR="00C56413" w:rsidRDefault="00DD2E2D">
          <w:pPr>
            <w:pStyle w:val="TOC1"/>
            <w:tabs>
              <w:tab w:val="right" w:leader="dot" w:pos="9016"/>
            </w:tabs>
            <w:rPr>
              <w:rFonts w:eastAsiaTheme="minorEastAsia"/>
              <w:noProof/>
              <w:lang w:eastAsia="en-GB"/>
            </w:rPr>
          </w:pPr>
          <w:hyperlink w:anchor="_Toc58575092" w:history="1">
            <w:r w:rsidR="00C56413" w:rsidRPr="00360526">
              <w:rPr>
                <w:rStyle w:val="Hyperlink"/>
                <w:rFonts w:cstheme="majorHAnsi"/>
                <w:b/>
                <w:noProof/>
              </w:rPr>
              <w:t>Social Care</w:t>
            </w:r>
            <w:r w:rsidR="00C56413">
              <w:rPr>
                <w:noProof/>
                <w:webHidden/>
              </w:rPr>
              <w:tab/>
            </w:r>
            <w:r w:rsidR="00C56413">
              <w:rPr>
                <w:noProof/>
                <w:webHidden/>
              </w:rPr>
              <w:fldChar w:fldCharType="begin"/>
            </w:r>
            <w:r w:rsidR="00C56413">
              <w:rPr>
                <w:noProof/>
                <w:webHidden/>
              </w:rPr>
              <w:instrText xml:space="preserve"> PAGEREF _Toc58575092 \h </w:instrText>
            </w:r>
            <w:r w:rsidR="00C56413">
              <w:rPr>
                <w:noProof/>
                <w:webHidden/>
              </w:rPr>
            </w:r>
            <w:r w:rsidR="00C56413">
              <w:rPr>
                <w:noProof/>
                <w:webHidden/>
              </w:rPr>
              <w:fldChar w:fldCharType="separate"/>
            </w:r>
            <w:r w:rsidR="00C56413">
              <w:rPr>
                <w:noProof/>
                <w:webHidden/>
              </w:rPr>
              <w:t>33</w:t>
            </w:r>
            <w:r w:rsidR="00C56413">
              <w:rPr>
                <w:noProof/>
                <w:webHidden/>
              </w:rPr>
              <w:fldChar w:fldCharType="end"/>
            </w:r>
          </w:hyperlink>
        </w:p>
        <w:p w14:paraId="155AAA49" w14:textId="4DB710BE" w:rsidR="00C56413" w:rsidRDefault="00DD2E2D">
          <w:pPr>
            <w:pStyle w:val="TOC1"/>
            <w:tabs>
              <w:tab w:val="right" w:leader="dot" w:pos="9016"/>
            </w:tabs>
            <w:rPr>
              <w:rFonts w:eastAsiaTheme="minorEastAsia"/>
              <w:noProof/>
              <w:lang w:eastAsia="en-GB"/>
            </w:rPr>
          </w:pPr>
          <w:hyperlink w:anchor="_Toc58575093" w:history="1">
            <w:r w:rsidR="00C56413" w:rsidRPr="00360526">
              <w:rPr>
                <w:rStyle w:val="Hyperlink"/>
                <w:rFonts w:cstheme="majorHAnsi"/>
                <w:b/>
                <w:noProof/>
              </w:rPr>
              <w:t>Children, Young People and Parent Voice</w:t>
            </w:r>
            <w:r w:rsidR="00C56413">
              <w:rPr>
                <w:noProof/>
                <w:webHidden/>
              </w:rPr>
              <w:tab/>
            </w:r>
            <w:r w:rsidR="00C56413">
              <w:rPr>
                <w:noProof/>
                <w:webHidden/>
              </w:rPr>
              <w:fldChar w:fldCharType="begin"/>
            </w:r>
            <w:r w:rsidR="00C56413">
              <w:rPr>
                <w:noProof/>
                <w:webHidden/>
              </w:rPr>
              <w:instrText xml:space="preserve"> PAGEREF _Toc58575093 \h </w:instrText>
            </w:r>
            <w:r w:rsidR="00C56413">
              <w:rPr>
                <w:noProof/>
                <w:webHidden/>
              </w:rPr>
            </w:r>
            <w:r w:rsidR="00C56413">
              <w:rPr>
                <w:noProof/>
                <w:webHidden/>
              </w:rPr>
              <w:fldChar w:fldCharType="separate"/>
            </w:r>
            <w:r w:rsidR="00C56413">
              <w:rPr>
                <w:noProof/>
                <w:webHidden/>
              </w:rPr>
              <w:t>35</w:t>
            </w:r>
            <w:r w:rsidR="00C56413">
              <w:rPr>
                <w:noProof/>
                <w:webHidden/>
              </w:rPr>
              <w:fldChar w:fldCharType="end"/>
            </w:r>
          </w:hyperlink>
        </w:p>
        <w:p w14:paraId="5243671E" w14:textId="58686141" w:rsidR="00C56413" w:rsidRDefault="00DD2E2D">
          <w:pPr>
            <w:pStyle w:val="TOC2"/>
            <w:tabs>
              <w:tab w:val="right" w:leader="dot" w:pos="9016"/>
            </w:tabs>
            <w:rPr>
              <w:rFonts w:eastAsiaTheme="minorEastAsia"/>
              <w:noProof/>
              <w:lang w:eastAsia="en-GB"/>
            </w:rPr>
          </w:pPr>
          <w:hyperlink w:anchor="_Toc58575094" w:history="1">
            <w:r w:rsidR="00C56413" w:rsidRPr="00360526">
              <w:rPr>
                <w:rStyle w:val="Hyperlink"/>
                <w:rFonts w:cstheme="majorHAnsi"/>
                <w:noProof/>
              </w:rPr>
              <w:t>Parent interviews</w:t>
            </w:r>
            <w:r w:rsidR="00C56413">
              <w:rPr>
                <w:noProof/>
                <w:webHidden/>
              </w:rPr>
              <w:tab/>
            </w:r>
            <w:r w:rsidR="00C56413">
              <w:rPr>
                <w:noProof/>
                <w:webHidden/>
              </w:rPr>
              <w:fldChar w:fldCharType="begin"/>
            </w:r>
            <w:r w:rsidR="00C56413">
              <w:rPr>
                <w:noProof/>
                <w:webHidden/>
              </w:rPr>
              <w:instrText xml:space="preserve"> PAGEREF _Toc58575094 \h </w:instrText>
            </w:r>
            <w:r w:rsidR="00C56413">
              <w:rPr>
                <w:noProof/>
                <w:webHidden/>
              </w:rPr>
            </w:r>
            <w:r w:rsidR="00C56413">
              <w:rPr>
                <w:noProof/>
                <w:webHidden/>
              </w:rPr>
              <w:fldChar w:fldCharType="separate"/>
            </w:r>
            <w:r w:rsidR="00C56413">
              <w:rPr>
                <w:noProof/>
                <w:webHidden/>
              </w:rPr>
              <w:t>35</w:t>
            </w:r>
            <w:r w:rsidR="00C56413">
              <w:rPr>
                <w:noProof/>
                <w:webHidden/>
              </w:rPr>
              <w:fldChar w:fldCharType="end"/>
            </w:r>
          </w:hyperlink>
        </w:p>
        <w:p w14:paraId="7ED7D75D" w14:textId="23018ACF" w:rsidR="00C56413" w:rsidRDefault="00DD2E2D">
          <w:pPr>
            <w:pStyle w:val="TOC2"/>
            <w:tabs>
              <w:tab w:val="right" w:leader="dot" w:pos="9016"/>
            </w:tabs>
            <w:rPr>
              <w:rFonts w:eastAsiaTheme="minorEastAsia"/>
              <w:noProof/>
              <w:lang w:eastAsia="en-GB"/>
            </w:rPr>
          </w:pPr>
          <w:hyperlink w:anchor="_Toc58575095" w:history="1">
            <w:r w:rsidR="00C56413" w:rsidRPr="00360526">
              <w:rPr>
                <w:rStyle w:val="Hyperlink"/>
                <w:rFonts w:cstheme="majorHAnsi"/>
                <w:noProof/>
              </w:rPr>
              <w:t>Young people voice In York</w:t>
            </w:r>
            <w:r w:rsidR="00C56413">
              <w:rPr>
                <w:noProof/>
                <w:webHidden/>
              </w:rPr>
              <w:tab/>
            </w:r>
            <w:r w:rsidR="00C56413">
              <w:rPr>
                <w:noProof/>
                <w:webHidden/>
              </w:rPr>
              <w:fldChar w:fldCharType="begin"/>
            </w:r>
            <w:r w:rsidR="00C56413">
              <w:rPr>
                <w:noProof/>
                <w:webHidden/>
              </w:rPr>
              <w:instrText xml:space="preserve"> PAGEREF _Toc58575095 \h </w:instrText>
            </w:r>
            <w:r w:rsidR="00C56413">
              <w:rPr>
                <w:noProof/>
                <w:webHidden/>
              </w:rPr>
            </w:r>
            <w:r w:rsidR="00C56413">
              <w:rPr>
                <w:noProof/>
                <w:webHidden/>
              </w:rPr>
              <w:fldChar w:fldCharType="separate"/>
            </w:r>
            <w:r w:rsidR="00C56413">
              <w:rPr>
                <w:noProof/>
                <w:webHidden/>
              </w:rPr>
              <w:t>35</w:t>
            </w:r>
            <w:r w:rsidR="00C56413">
              <w:rPr>
                <w:noProof/>
                <w:webHidden/>
              </w:rPr>
              <w:fldChar w:fldCharType="end"/>
            </w:r>
          </w:hyperlink>
        </w:p>
        <w:p w14:paraId="396E1973" w14:textId="7F4CA1CA" w:rsidR="00C56413" w:rsidRDefault="00DD2E2D">
          <w:pPr>
            <w:pStyle w:val="TOC1"/>
            <w:tabs>
              <w:tab w:val="right" w:leader="dot" w:pos="9016"/>
            </w:tabs>
            <w:rPr>
              <w:rFonts w:eastAsiaTheme="minorEastAsia"/>
              <w:noProof/>
              <w:lang w:eastAsia="en-GB"/>
            </w:rPr>
          </w:pPr>
          <w:hyperlink w:anchor="_Toc58575096" w:history="1">
            <w:r w:rsidR="00C56413" w:rsidRPr="00360526">
              <w:rPr>
                <w:rStyle w:val="Hyperlink"/>
                <w:rFonts w:cstheme="majorHAnsi"/>
                <w:b/>
                <w:noProof/>
              </w:rPr>
              <w:t>Inclusive City</w:t>
            </w:r>
            <w:r w:rsidR="00C56413">
              <w:rPr>
                <w:noProof/>
                <w:webHidden/>
              </w:rPr>
              <w:tab/>
            </w:r>
            <w:r w:rsidR="00C56413">
              <w:rPr>
                <w:noProof/>
                <w:webHidden/>
              </w:rPr>
              <w:fldChar w:fldCharType="begin"/>
            </w:r>
            <w:r w:rsidR="00C56413">
              <w:rPr>
                <w:noProof/>
                <w:webHidden/>
              </w:rPr>
              <w:instrText xml:space="preserve"> PAGEREF _Toc58575096 \h </w:instrText>
            </w:r>
            <w:r w:rsidR="00C56413">
              <w:rPr>
                <w:noProof/>
                <w:webHidden/>
              </w:rPr>
            </w:r>
            <w:r w:rsidR="00C56413">
              <w:rPr>
                <w:noProof/>
                <w:webHidden/>
              </w:rPr>
              <w:fldChar w:fldCharType="separate"/>
            </w:r>
            <w:r w:rsidR="00C56413">
              <w:rPr>
                <w:noProof/>
                <w:webHidden/>
              </w:rPr>
              <w:t>37</w:t>
            </w:r>
            <w:r w:rsidR="00C56413">
              <w:rPr>
                <w:noProof/>
                <w:webHidden/>
              </w:rPr>
              <w:fldChar w:fldCharType="end"/>
            </w:r>
          </w:hyperlink>
        </w:p>
        <w:p w14:paraId="4FD3249F" w14:textId="03209F0B" w:rsidR="00C56413" w:rsidRDefault="00DD2E2D">
          <w:pPr>
            <w:pStyle w:val="TOC1"/>
            <w:tabs>
              <w:tab w:val="right" w:leader="dot" w:pos="9016"/>
            </w:tabs>
            <w:rPr>
              <w:rFonts w:eastAsiaTheme="minorEastAsia"/>
              <w:noProof/>
              <w:lang w:eastAsia="en-GB"/>
            </w:rPr>
          </w:pPr>
          <w:hyperlink w:anchor="_Toc58575097" w:history="1">
            <w:r w:rsidR="00C56413" w:rsidRPr="00360526">
              <w:rPr>
                <w:rStyle w:val="Hyperlink"/>
                <w:rFonts w:cstheme="majorHAnsi"/>
                <w:b/>
                <w:noProof/>
              </w:rPr>
              <w:t>Young people aged 16-25</w:t>
            </w:r>
            <w:r w:rsidR="00C56413">
              <w:rPr>
                <w:noProof/>
                <w:webHidden/>
              </w:rPr>
              <w:tab/>
            </w:r>
            <w:r w:rsidR="00C56413">
              <w:rPr>
                <w:noProof/>
                <w:webHidden/>
              </w:rPr>
              <w:fldChar w:fldCharType="begin"/>
            </w:r>
            <w:r w:rsidR="00C56413">
              <w:rPr>
                <w:noProof/>
                <w:webHidden/>
              </w:rPr>
              <w:instrText xml:space="preserve"> PAGEREF _Toc58575097 \h </w:instrText>
            </w:r>
            <w:r w:rsidR="00C56413">
              <w:rPr>
                <w:noProof/>
                <w:webHidden/>
              </w:rPr>
            </w:r>
            <w:r w:rsidR="00C56413">
              <w:rPr>
                <w:noProof/>
                <w:webHidden/>
              </w:rPr>
              <w:fldChar w:fldCharType="separate"/>
            </w:r>
            <w:r w:rsidR="00C56413">
              <w:rPr>
                <w:noProof/>
                <w:webHidden/>
              </w:rPr>
              <w:t>38</w:t>
            </w:r>
            <w:r w:rsidR="00C56413">
              <w:rPr>
                <w:noProof/>
                <w:webHidden/>
              </w:rPr>
              <w:fldChar w:fldCharType="end"/>
            </w:r>
          </w:hyperlink>
        </w:p>
        <w:p w14:paraId="7230CB6A" w14:textId="68926986" w:rsidR="00C56413" w:rsidRDefault="00DD2E2D">
          <w:pPr>
            <w:pStyle w:val="TOC2"/>
            <w:tabs>
              <w:tab w:val="right" w:leader="dot" w:pos="9016"/>
            </w:tabs>
            <w:rPr>
              <w:rFonts w:eastAsiaTheme="minorEastAsia"/>
              <w:noProof/>
              <w:lang w:eastAsia="en-GB"/>
            </w:rPr>
          </w:pPr>
          <w:hyperlink w:anchor="_Toc58575098" w:history="1">
            <w:r w:rsidR="00C56413" w:rsidRPr="00360526">
              <w:rPr>
                <w:rStyle w:val="Hyperlink"/>
                <w:rFonts w:cstheme="majorHAnsi"/>
                <w:noProof/>
              </w:rPr>
              <w:t>Preparation for adulthood and transition</w:t>
            </w:r>
            <w:r w:rsidR="00C56413">
              <w:rPr>
                <w:noProof/>
                <w:webHidden/>
              </w:rPr>
              <w:tab/>
            </w:r>
            <w:r w:rsidR="00C56413">
              <w:rPr>
                <w:noProof/>
                <w:webHidden/>
              </w:rPr>
              <w:fldChar w:fldCharType="begin"/>
            </w:r>
            <w:r w:rsidR="00C56413">
              <w:rPr>
                <w:noProof/>
                <w:webHidden/>
              </w:rPr>
              <w:instrText xml:space="preserve"> PAGEREF _Toc58575098 \h </w:instrText>
            </w:r>
            <w:r w:rsidR="00C56413">
              <w:rPr>
                <w:noProof/>
                <w:webHidden/>
              </w:rPr>
            </w:r>
            <w:r w:rsidR="00C56413">
              <w:rPr>
                <w:noProof/>
                <w:webHidden/>
              </w:rPr>
              <w:fldChar w:fldCharType="separate"/>
            </w:r>
            <w:r w:rsidR="00C56413">
              <w:rPr>
                <w:noProof/>
                <w:webHidden/>
              </w:rPr>
              <w:t>38</w:t>
            </w:r>
            <w:r w:rsidR="00C56413">
              <w:rPr>
                <w:noProof/>
                <w:webHidden/>
              </w:rPr>
              <w:fldChar w:fldCharType="end"/>
            </w:r>
          </w:hyperlink>
        </w:p>
        <w:p w14:paraId="54F891AD" w14:textId="01D14C9D" w:rsidR="00C56413" w:rsidRDefault="00DD2E2D">
          <w:pPr>
            <w:pStyle w:val="TOC2"/>
            <w:tabs>
              <w:tab w:val="right" w:leader="dot" w:pos="9016"/>
            </w:tabs>
            <w:rPr>
              <w:rFonts w:eastAsiaTheme="minorEastAsia"/>
              <w:noProof/>
              <w:lang w:eastAsia="en-GB"/>
            </w:rPr>
          </w:pPr>
          <w:hyperlink w:anchor="_Toc58575099" w:history="1">
            <w:r w:rsidR="00C56413" w:rsidRPr="00360526">
              <w:rPr>
                <w:rStyle w:val="Hyperlink"/>
                <w:rFonts w:cstheme="majorHAnsi"/>
                <w:noProof/>
              </w:rPr>
              <w:t>Participation and NEET</w:t>
            </w:r>
            <w:r w:rsidR="00C56413">
              <w:rPr>
                <w:noProof/>
                <w:webHidden/>
              </w:rPr>
              <w:tab/>
            </w:r>
            <w:r w:rsidR="00C56413">
              <w:rPr>
                <w:noProof/>
                <w:webHidden/>
              </w:rPr>
              <w:fldChar w:fldCharType="begin"/>
            </w:r>
            <w:r w:rsidR="00C56413">
              <w:rPr>
                <w:noProof/>
                <w:webHidden/>
              </w:rPr>
              <w:instrText xml:space="preserve"> PAGEREF _Toc58575099 \h </w:instrText>
            </w:r>
            <w:r w:rsidR="00C56413">
              <w:rPr>
                <w:noProof/>
                <w:webHidden/>
              </w:rPr>
            </w:r>
            <w:r w:rsidR="00C56413">
              <w:rPr>
                <w:noProof/>
                <w:webHidden/>
              </w:rPr>
              <w:fldChar w:fldCharType="separate"/>
            </w:r>
            <w:r w:rsidR="00C56413">
              <w:rPr>
                <w:noProof/>
                <w:webHidden/>
              </w:rPr>
              <w:t>39</w:t>
            </w:r>
            <w:r w:rsidR="00C56413">
              <w:rPr>
                <w:noProof/>
                <w:webHidden/>
              </w:rPr>
              <w:fldChar w:fldCharType="end"/>
            </w:r>
          </w:hyperlink>
        </w:p>
        <w:p w14:paraId="5EF9708A" w14:textId="112F62F1" w:rsidR="00C56413" w:rsidRDefault="00DD2E2D">
          <w:pPr>
            <w:pStyle w:val="TOC2"/>
            <w:tabs>
              <w:tab w:val="right" w:leader="dot" w:pos="9016"/>
            </w:tabs>
            <w:rPr>
              <w:rFonts w:eastAsiaTheme="minorEastAsia"/>
              <w:noProof/>
              <w:lang w:eastAsia="en-GB"/>
            </w:rPr>
          </w:pPr>
          <w:hyperlink w:anchor="_Toc58575100" w:history="1">
            <w:r w:rsidR="00C56413" w:rsidRPr="00360526">
              <w:rPr>
                <w:rStyle w:val="Hyperlink"/>
                <w:rFonts w:cstheme="majorHAnsi"/>
                <w:noProof/>
              </w:rPr>
              <w:t>Adulthood outcomes</w:t>
            </w:r>
            <w:r w:rsidR="00C56413">
              <w:rPr>
                <w:noProof/>
                <w:webHidden/>
              </w:rPr>
              <w:tab/>
            </w:r>
            <w:r w:rsidR="00C56413">
              <w:rPr>
                <w:noProof/>
                <w:webHidden/>
              </w:rPr>
              <w:fldChar w:fldCharType="begin"/>
            </w:r>
            <w:r w:rsidR="00C56413">
              <w:rPr>
                <w:noProof/>
                <w:webHidden/>
              </w:rPr>
              <w:instrText xml:space="preserve"> PAGEREF _Toc58575100 \h </w:instrText>
            </w:r>
            <w:r w:rsidR="00C56413">
              <w:rPr>
                <w:noProof/>
                <w:webHidden/>
              </w:rPr>
            </w:r>
            <w:r w:rsidR="00C56413">
              <w:rPr>
                <w:noProof/>
                <w:webHidden/>
              </w:rPr>
              <w:fldChar w:fldCharType="separate"/>
            </w:r>
            <w:r w:rsidR="00C56413">
              <w:rPr>
                <w:noProof/>
                <w:webHidden/>
              </w:rPr>
              <w:t>40</w:t>
            </w:r>
            <w:r w:rsidR="00C56413">
              <w:rPr>
                <w:noProof/>
                <w:webHidden/>
              </w:rPr>
              <w:fldChar w:fldCharType="end"/>
            </w:r>
          </w:hyperlink>
        </w:p>
        <w:p w14:paraId="225F3E0B" w14:textId="1B434CF4" w:rsidR="00C56413" w:rsidRDefault="00DD2E2D">
          <w:pPr>
            <w:pStyle w:val="TOC1"/>
            <w:tabs>
              <w:tab w:val="right" w:leader="dot" w:pos="9016"/>
            </w:tabs>
            <w:rPr>
              <w:rFonts w:eastAsiaTheme="minorEastAsia"/>
              <w:noProof/>
              <w:lang w:eastAsia="en-GB"/>
            </w:rPr>
          </w:pPr>
          <w:hyperlink w:anchor="_Toc58575101" w:history="1">
            <w:r w:rsidR="00C56413" w:rsidRPr="00360526">
              <w:rPr>
                <w:rStyle w:val="Hyperlink"/>
                <w:rFonts w:cstheme="majorHAnsi"/>
                <w:b/>
                <w:noProof/>
              </w:rPr>
              <w:t>Need projections</w:t>
            </w:r>
            <w:r w:rsidR="00C56413">
              <w:rPr>
                <w:noProof/>
                <w:webHidden/>
              </w:rPr>
              <w:tab/>
            </w:r>
            <w:r w:rsidR="00C56413">
              <w:rPr>
                <w:noProof/>
                <w:webHidden/>
              </w:rPr>
              <w:fldChar w:fldCharType="begin"/>
            </w:r>
            <w:r w:rsidR="00C56413">
              <w:rPr>
                <w:noProof/>
                <w:webHidden/>
              </w:rPr>
              <w:instrText xml:space="preserve"> PAGEREF _Toc58575101 \h </w:instrText>
            </w:r>
            <w:r w:rsidR="00C56413">
              <w:rPr>
                <w:noProof/>
                <w:webHidden/>
              </w:rPr>
            </w:r>
            <w:r w:rsidR="00C56413">
              <w:rPr>
                <w:noProof/>
                <w:webHidden/>
              </w:rPr>
              <w:fldChar w:fldCharType="separate"/>
            </w:r>
            <w:r w:rsidR="00C56413">
              <w:rPr>
                <w:noProof/>
                <w:webHidden/>
              </w:rPr>
              <w:t>41</w:t>
            </w:r>
            <w:r w:rsidR="00C56413">
              <w:rPr>
                <w:noProof/>
                <w:webHidden/>
              </w:rPr>
              <w:fldChar w:fldCharType="end"/>
            </w:r>
          </w:hyperlink>
        </w:p>
        <w:p w14:paraId="69516C65" w14:textId="73F214B8" w:rsidR="00DF0B42" w:rsidRPr="00EB4A49" w:rsidRDefault="00177DBD">
          <w:pPr>
            <w:rPr>
              <w:b/>
              <w:bCs/>
              <w:noProof/>
              <w:sz w:val="24"/>
              <w:szCs w:val="24"/>
            </w:rPr>
          </w:pPr>
          <w:r w:rsidRPr="00EB4A49">
            <w:rPr>
              <w:b/>
              <w:bCs/>
              <w:noProof/>
              <w:sz w:val="24"/>
              <w:szCs w:val="24"/>
            </w:rPr>
            <w:fldChar w:fldCharType="end"/>
          </w:r>
        </w:p>
      </w:sdtContent>
    </w:sdt>
    <w:p w14:paraId="73B85CB8" w14:textId="77777777" w:rsidR="00177DBD" w:rsidRPr="00EB4A49" w:rsidRDefault="00177DBD">
      <w:pPr>
        <w:rPr>
          <w:sz w:val="24"/>
          <w:szCs w:val="24"/>
        </w:rPr>
      </w:pPr>
      <w:r w:rsidRPr="00EB4A49">
        <w:rPr>
          <w:sz w:val="24"/>
          <w:szCs w:val="24"/>
        </w:rPr>
        <w:br w:type="page"/>
      </w:r>
    </w:p>
    <w:p w14:paraId="02C9EC9E" w14:textId="77777777" w:rsidR="00177DBD" w:rsidRPr="00612DB3" w:rsidRDefault="00177DBD" w:rsidP="00177DBD">
      <w:pPr>
        <w:pStyle w:val="Heading1"/>
        <w:rPr>
          <w:b/>
          <w:sz w:val="24"/>
          <w:szCs w:val="24"/>
        </w:rPr>
      </w:pPr>
      <w:bookmarkStart w:id="0" w:name="_Toc58575060"/>
      <w:r w:rsidRPr="00612DB3">
        <w:rPr>
          <w:b/>
          <w:sz w:val="24"/>
          <w:szCs w:val="24"/>
        </w:rPr>
        <w:lastRenderedPageBreak/>
        <w:t>Key Findings</w:t>
      </w:r>
      <w:bookmarkEnd w:id="0"/>
      <w:r w:rsidRPr="00612DB3">
        <w:rPr>
          <w:b/>
          <w:sz w:val="24"/>
          <w:szCs w:val="24"/>
        </w:rPr>
        <w:t xml:space="preserve"> </w:t>
      </w:r>
    </w:p>
    <w:p w14:paraId="178720EC" w14:textId="77777777" w:rsidR="00177DBD" w:rsidRPr="00EB4A49" w:rsidRDefault="00177DBD">
      <w:pPr>
        <w:rPr>
          <w:sz w:val="24"/>
          <w:szCs w:val="24"/>
        </w:rPr>
      </w:pPr>
    </w:p>
    <w:p w14:paraId="3606C811" w14:textId="77777777" w:rsidR="00177DBD" w:rsidRDefault="004D1891">
      <w:pPr>
        <w:rPr>
          <w:sz w:val="24"/>
          <w:szCs w:val="24"/>
        </w:rPr>
      </w:pPr>
      <w:r>
        <w:rPr>
          <w:sz w:val="24"/>
          <w:szCs w:val="24"/>
        </w:rPr>
        <w:t xml:space="preserve">This report was produced by the CYC public health team in response to the 2019 OFSTED and CQC inspection. It was created through conversation with professionals and interviews with parents in order to better understand the SEND population of York. </w:t>
      </w:r>
      <w:r w:rsidR="00184722">
        <w:rPr>
          <w:sz w:val="24"/>
          <w:szCs w:val="24"/>
        </w:rPr>
        <w:t xml:space="preserve">There is strong evidence of parental engagement and this evidence significant opportunity to coproduce whole system change in partnership with young people and their families. </w:t>
      </w:r>
    </w:p>
    <w:p w14:paraId="3D3605D9" w14:textId="77777777" w:rsidR="004D1891" w:rsidRDefault="004D1891">
      <w:pPr>
        <w:rPr>
          <w:sz w:val="24"/>
          <w:szCs w:val="24"/>
        </w:rPr>
      </w:pPr>
      <w:r>
        <w:rPr>
          <w:sz w:val="24"/>
          <w:szCs w:val="24"/>
        </w:rPr>
        <w:t>4% of the early years pop</w:t>
      </w:r>
      <w:r w:rsidR="00341F1C">
        <w:rPr>
          <w:sz w:val="24"/>
          <w:szCs w:val="24"/>
        </w:rPr>
        <w:t>ulation has an identified SEND; either through an EHCP or Inclusion Funding. Th</w:t>
      </w:r>
      <w:r>
        <w:rPr>
          <w:sz w:val="24"/>
          <w:szCs w:val="24"/>
        </w:rPr>
        <w:t xml:space="preserve">is figure is low because many additional needs are not clearly identifiable at this age. Almost all of York’s 3 and 4 year olds attend an early years setting, and 20% of this population incurs additional funding. </w:t>
      </w:r>
    </w:p>
    <w:p w14:paraId="5C8B2F38" w14:textId="319D874F" w:rsidR="004D1891" w:rsidRDefault="004D1891">
      <w:pPr>
        <w:rPr>
          <w:sz w:val="24"/>
          <w:szCs w:val="24"/>
        </w:rPr>
      </w:pPr>
      <w:r>
        <w:rPr>
          <w:sz w:val="24"/>
          <w:szCs w:val="24"/>
        </w:rPr>
        <w:t>16% of the school age population had an identified SEND. 13% have SEN-support</w:t>
      </w:r>
      <w:r w:rsidR="000C62BF">
        <w:rPr>
          <w:sz w:val="24"/>
          <w:szCs w:val="24"/>
        </w:rPr>
        <w:t xml:space="preserve">. </w:t>
      </w:r>
      <w:r>
        <w:rPr>
          <w:sz w:val="24"/>
          <w:szCs w:val="24"/>
        </w:rPr>
        <w:t xml:space="preserve">This is around half of the number who had SEN-support a decade ago; linked to a national directive, but the figures have been stable for the last five years. A quarter of the SEN-support population have a primary need of social, emotional, and mental health, and another quarter have a primary need of a learning disability. 2.8% of the school age population have an EHCP, a third of these are linked to a primary need of autism. The EHCP population has been rapidly growing in York, especially around social, emotional, and mental health, however this is showing signs of stabilising. Despite this, there is evidence of a sustained rise in new SEND need in the ‘pre-transition’ cohorts of year 6 and year 11. </w:t>
      </w:r>
    </w:p>
    <w:p w14:paraId="629F6BEE" w14:textId="77777777" w:rsidR="00DA636F" w:rsidRDefault="004D1891">
      <w:pPr>
        <w:rPr>
          <w:sz w:val="24"/>
          <w:szCs w:val="24"/>
        </w:rPr>
      </w:pPr>
      <w:r>
        <w:rPr>
          <w:sz w:val="24"/>
          <w:szCs w:val="24"/>
        </w:rPr>
        <w:t xml:space="preserve">There is some evidence of clustering of identified early years need in some parts of the city, but the group is small and this finding is uncertain.  </w:t>
      </w:r>
      <w:r w:rsidR="00DA636F">
        <w:rPr>
          <w:sz w:val="24"/>
          <w:szCs w:val="24"/>
        </w:rPr>
        <w:t xml:space="preserve">For school age pupils, the size of the school and the size of the free school meals population are not predictors for the number of pupils with an EHCP nor the numbers of pupils with SEN-support.  </w:t>
      </w:r>
      <w:r w:rsidR="007D6088">
        <w:rPr>
          <w:sz w:val="24"/>
          <w:szCs w:val="24"/>
        </w:rPr>
        <w:t>This may indicate substantial between-school variation in practice. L</w:t>
      </w:r>
      <w:r w:rsidR="00DA636F">
        <w:rPr>
          <w:sz w:val="24"/>
          <w:szCs w:val="24"/>
        </w:rPr>
        <w:t xml:space="preserve">ocal area deprivation is a predictor for the numbers of children with SEND, in particular SEMH need.  </w:t>
      </w:r>
      <w:r w:rsidR="007D6088">
        <w:rPr>
          <w:sz w:val="24"/>
          <w:szCs w:val="24"/>
        </w:rPr>
        <w:t xml:space="preserve">This is important insight for health and community </w:t>
      </w:r>
      <w:r w:rsidR="00C771E8">
        <w:rPr>
          <w:sz w:val="24"/>
          <w:szCs w:val="24"/>
        </w:rPr>
        <w:t xml:space="preserve">based </w:t>
      </w:r>
      <w:r w:rsidR="007D6088">
        <w:rPr>
          <w:sz w:val="24"/>
          <w:szCs w:val="24"/>
        </w:rPr>
        <w:t xml:space="preserve">services. </w:t>
      </w:r>
    </w:p>
    <w:p w14:paraId="18FC7B94" w14:textId="77777777" w:rsidR="00184722" w:rsidRDefault="00184722">
      <w:pPr>
        <w:rPr>
          <w:sz w:val="24"/>
          <w:szCs w:val="24"/>
        </w:rPr>
      </w:pPr>
      <w:r>
        <w:rPr>
          <w:sz w:val="24"/>
          <w:szCs w:val="24"/>
        </w:rPr>
        <w:t xml:space="preserve">In education, portage, educational psychology, and specialist teaching are valued by parents and professionals alike. However the specialist services are not presently evaluated in a way that means they can demonstrate impact on outcomes across the system. Additionally, there is evidence of inconsistencies in mainstream teaching and mainstream policies, and parent interviews identified a number of examples of the impact of this on pupil wellbeing. </w:t>
      </w:r>
      <w:r w:rsidR="00B50E6E">
        <w:rPr>
          <w:sz w:val="24"/>
          <w:szCs w:val="24"/>
        </w:rPr>
        <w:t xml:space="preserve">At present, the SEND improvement board does not have routes for ongoing conversation with young people and parents to hear their feedback in real time. </w:t>
      </w:r>
    </w:p>
    <w:p w14:paraId="291DA8BF" w14:textId="79644B0D" w:rsidR="00184722" w:rsidRDefault="00184722">
      <w:pPr>
        <w:rPr>
          <w:sz w:val="24"/>
          <w:szCs w:val="24"/>
        </w:rPr>
      </w:pPr>
      <w:r>
        <w:rPr>
          <w:sz w:val="24"/>
          <w:szCs w:val="24"/>
        </w:rPr>
        <w:t>Early years attainment outcomes are in line with national figures, but there is an already substantia</w:t>
      </w:r>
      <w:r w:rsidR="00911F35">
        <w:rPr>
          <w:sz w:val="24"/>
          <w:szCs w:val="24"/>
        </w:rPr>
        <w:t xml:space="preserve">l gap in attainment between SEND </w:t>
      </w:r>
      <w:r>
        <w:rPr>
          <w:sz w:val="24"/>
          <w:szCs w:val="24"/>
        </w:rPr>
        <w:t>and non-SEN</w:t>
      </w:r>
      <w:r w:rsidR="00911F35">
        <w:rPr>
          <w:sz w:val="24"/>
          <w:szCs w:val="24"/>
        </w:rPr>
        <w:t>D</w:t>
      </w:r>
      <w:r>
        <w:rPr>
          <w:sz w:val="24"/>
          <w:szCs w:val="24"/>
        </w:rPr>
        <w:t xml:space="preserve"> children by the age of 4. At 16, non-SEN</w:t>
      </w:r>
      <w:r w:rsidR="00911F35">
        <w:rPr>
          <w:sz w:val="24"/>
          <w:szCs w:val="24"/>
        </w:rPr>
        <w:t>D</w:t>
      </w:r>
      <w:r>
        <w:rPr>
          <w:sz w:val="24"/>
          <w:szCs w:val="24"/>
        </w:rPr>
        <w:t xml:space="preserve"> pupils out preform their peers nationally, and the SEN-support and EHCP cohorts fall less far behind than their peers in other areas, again, the attainment gap is still significant. </w:t>
      </w:r>
    </w:p>
    <w:p w14:paraId="71DF61E7" w14:textId="77777777" w:rsidR="00184722" w:rsidRDefault="00B50E6E">
      <w:pPr>
        <w:rPr>
          <w:sz w:val="24"/>
          <w:szCs w:val="24"/>
        </w:rPr>
      </w:pPr>
      <w:r>
        <w:rPr>
          <w:sz w:val="24"/>
          <w:szCs w:val="24"/>
        </w:rPr>
        <w:lastRenderedPageBreak/>
        <w:t>In</w:t>
      </w:r>
      <w:r w:rsidR="00184722">
        <w:rPr>
          <w:sz w:val="24"/>
          <w:szCs w:val="24"/>
        </w:rPr>
        <w:t xml:space="preserve"> health, early indications from this project are that access to physical health services is broad</w:t>
      </w:r>
      <w:r>
        <w:rPr>
          <w:sz w:val="24"/>
          <w:szCs w:val="24"/>
        </w:rPr>
        <w:t>ly good, though this assessment</w:t>
      </w:r>
      <w:r w:rsidR="00184722">
        <w:rPr>
          <w:sz w:val="24"/>
          <w:szCs w:val="24"/>
        </w:rPr>
        <w:t xml:space="preserve"> makes some recommendations on uniformity. There are still substantial steps that need to be taken before the SEND improvement board can be assured of health care access and outcomes for the SEND population, and recommendations around data linkage are made to support this.  </w:t>
      </w:r>
    </w:p>
    <w:p w14:paraId="21BBD5CD" w14:textId="77777777" w:rsidR="00B50E6E" w:rsidRDefault="00B50E6E">
      <w:pPr>
        <w:rPr>
          <w:sz w:val="24"/>
          <w:szCs w:val="24"/>
        </w:rPr>
      </w:pPr>
      <w:r>
        <w:rPr>
          <w:sz w:val="24"/>
          <w:szCs w:val="24"/>
        </w:rPr>
        <w:t xml:space="preserve">School based early help for pupils emotional wellbeing was highly valued by both professionals and parents, and the service has good feedback </w:t>
      </w:r>
      <w:r w:rsidR="00E14FDE">
        <w:rPr>
          <w:sz w:val="24"/>
          <w:szCs w:val="24"/>
        </w:rPr>
        <w:t>opportunities</w:t>
      </w:r>
      <w:r>
        <w:rPr>
          <w:sz w:val="24"/>
          <w:szCs w:val="24"/>
        </w:rPr>
        <w:t xml:space="preserve"> for children, young people, parents, and school professionals. </w:t>
      </w:r>
      <w:r w:rsidR="00E14FDE">
        <w:rPr>
          <w:sz w:val="24"/>
          <w:szCs w:val="24"/>
        </w:rPr>
        <w:t>There is widespread support across displays for support linked to presenting need, rather than diagnosis, but schools and the SEND system still has substantial steps to take to fulfil this ambition. This is especially important as there are very significant wait times for children and young people seeking a formalised diagnosis of need.</w:t>
      </w:r>
    </w:p>
    <w:p w14:paraId="3E05EF1E" w14:textId="6417EE78" w:rsidR="00635048" w:rsidRDefault="00635048">
      <w:pPr>
        <w:rPr>
          <w:sz w:val="24"/>
          <w:szCs w:val="24"/>
        </w:rPr>
      </w:pPr>
      <w:r>
        <w:rPr>
          <w:sz w:val="24"/>
          <w:szCs w:val="24"/>
        </w:rPr>
        <w:t xml:space="preserve">Children’s social care provision is mainly taken up by families of older teenagers, despite all children and young people with a </w:t>
      </w:r>
      <w:r w:rsidR="00D11AAE">
        <w:rPr>
          <w:sz w:val="24"/>
          <w:szCs w:val="24"/>
        </w:rPr>
        <w:t>SEND</w:t>
      </w:r>
      <w:r>
        <w:rPr>
          <w:sz w:val="24"/>
          <w:szCs w:val="24"/>
        </w:rPr>
        <w:t xml:space="preserve"> being eligible for 100 hours of short breaks support each year. This ‘100 hours’ scheme can be used very flexibly, but as yet, the evaluation of the scheme does not enable parent participation or have a transparent link young people’s outcomes.  </w:t>
      </w:r>
    </w:p>
    <w:p w14:paraId="04B31CFB" w14:textId="18362448" w:rsidR="00635048" w:rsidRDefault="00635048">
      <w:pPr>
        <w:rPr>
          <w:sz w:val="24"/>
          <w:szCs w:val="24"/>
        </w:rPr>
      </w:pPr>
      <w:r>
        <w:rPr>
          <w:sz w:val="24"/>
          <w:szCs w:val="24"/>
        </w:rPr>
        <w:t>An inclusive w</w:t>
      </w:r>
      <w:r w:rsidR="0004704F">
        <w:rPr>
          <w:sz w:val="24"/>
          <w:szCs w:val="24"/>
        </w:rPr>
        <w:t>ider city, with both accessible universal organisations, and specialist community groups is important to strong lifetime outcomes. This is reflected in the views and comments shared by young people with special educational needs</w:t>
      </w:r>
      <w:r w:rsidR="00911F35">
        <w:rPr>
          <w:sz w:val="24"/>
          <w:szCs w:val="24"/>
        </w:rPr>
        <w:t xml:space="preserve"> and disability</w:t>
      </w:r>
      <w:r w:rsidR="0004704F">
        <w:rPr>
          <w:sz w:val="24"/>
          <w:szCs w:val="24"/>
        </w:rPr>
        <w:t xml:space="preserve"> in the ‘York 12 steps’ engagement project, as well as a broad range of local and national strategic documents. </w:t>
      </w:r>
    </w:p>
    <w:p w14:paraId="666B7CCF" w14:textId="77777777" w:rsidR="00E14FDE" w:rsidRDefault="00E14FDE">
      <w:pPr>
        <w:rPr>
          <w:sz w:val="24"/>
          <w:szCs w:val="24"/>
        </w:rPr>
      </w:pPr>
    </w:p>
    <w:p w14:paraId="449FF0CF" w14:textId="77777777" w:rsidR="00E14FDE" w:rsidRPr="00EB4A49" w:rsidRDefault="00E14FDE">
      <w:pPr>
        <w:rPr>
          <w:sz w:val="24"/>
          <w:szCs w:val="24"/>
        </w:rPr>
      </w:pPr>
    </w:p>
    <w:p w14:paraId="46E60659" w14:textId="77777777" w:rsidR="00177DBD" w:rsidRPr="00EB4A49" w:rsidRDefault="00177DBD">
      <w:pPr>
        <w:rPr>
          <w:sz w:val="24"/>
          <w:szCs w:val="24"/>
        </w:rPr>
      </w:pPr>
    </w:p>
    <w:p w14:paraId="018E5350" w14:textId="77777777" w:rsidR="00177DBD" w:rsidRPr="00EB4A49" w:rsidRDefault="00177DBD">
      <w:pPr>
        <w:rPr>
          <w:sz w:val="24"/>
          <w:szCs w:val="24"/>
        </w:rPr>
      </w:pPr>
    </w:p>
    <w:p w14:paraId="4C1EC268" w14:textId="77777777" w:rsidR="00177DBD" w:rsidRPr="00EB4A49" w:rsidRDefault="00177DBD">
      <w:pPr>
        <w:rPr>
          <w:sz w:val="24"/>
          <w:szCs w:val="24"/>
        </w:rPr>
      </w:pPr>
    </w:p>
    <w:p w14:paraId="5314FF46" w14:textId="77777777" w:rsidR="00177DBD" w:rsidRPr="00EB4A49" w:rsidRDefault="00177DBD">
      <w:pPr>
        <w:rPr>
          <w:sz w:val="24"/>
          <w:szCs w:val="24"/>
        </w:rPr>
      </w:pPr>
    </w:p>
    <w:p w14:paraId="67921085" w14:textId="77777777" w:rsidR="00177DBD" w:rsidRPr="00EB4A49" w:rsidRDefault="00177DBD">
      <w:pPr>
        <w:rPr>
          <w:sz w:val="24"/>
          <w:szCs w:val="24"/>
        </w:rPr>
      </w:pPr>
    </w:p>
    <w:p w14:paraId="6990B454" w14:textId="77777777" w:rsidR="00177DBD" w:rsidRPr="00EB4A49" w:rsidRDefault="00177DBD">
      <w:pPr>
        <w:rPr>
          <w:sz w:val="24"/>
          <w:szCs w:val="24"/>
        </w:rPr>
      </w:pPr>
    </w:p>
    <w:p w14:paraId="6F62D793" w14:textId="77777777" w:rsidR="00177DBD" w:rsidRPr="00EB4A49" w:rsidRDefault="00177DBD">
      <w:pPr>
        <w:rPr>
          <w:sz w:val="24"/>
          <w:szCs w:val="24"/>
        </w:rPr>
      </w:pPr>
    </w:p>
    <w:p w14:paraId="3DF5132B" w14:textId="77777777" w:rsidR="00177DBD" w:rsidRPr="00EB4A49" w:rsidRDefault="00177DBD">
      <w:pPr>
        <w:rPr>
          <w:sz w:val="24"/>
          <w:szCs w:val="24"/>
        </w:rPr>
      </w:pPr>
    </w:p>
    <w:p w14:paraId="7DED40B1" w14:textId="77777777" w:rsidR="00177DBD" w:rsidRPr="00EB4A49" w:rsidRDefault="00177DBD">
      <w:pPr>
        <w:rPr>
          <w:b/>
          <w:sz w:val="24"/>
          <w:szCs w:val="24"/>
        </w:rPr>
      </w:pPr>
      <w:r w:rsidRPr="00EB4A49">
        <w:rPr>
          <w:b/>
          <w:sz w:val="24"/>
          <w:szCs w:val="24"/>
        </w:rPr>
        <w:br w:type="page"/>
      </w:r>
    </w:p>
    <w:p w14:paraId="11D7D1F8" w14:textId="77777777" w:rsidR="008D4B78" w:rsidRPr="00EB4A49" w:rsidRDefault="008D4B78" w:rsidP="00177DBD">
      <w:pPr>
        <w:pStyle w:val="Heading1"/>
        <w:rPr>
          <w:b/>
          <w:sz w:val="24"/>
          <w:szCs w:val="24"/>
        </w:rPr>
      </w:pPr>
      <w:bookmarkStart w:id="1" w:name="_Toc58575061"/>
      <w:r w:rsidRPr="00EB4A49">
        <w:rPr>
          <w:b/>
          <w:sz w:val="24"/>
          <w:szCs w:val="24"/>
        </w:rPr>
        <w:lastRenderedPageBreak/>
        <w:t>Scope</w:t>
      </w:r>
      <w:bookmarkEnd w:id="1"/>
    </w:p>
    <w:p w14:paraId="1F9EE0C0" w14:textId="77777777" w:rsidR="00980170" w:rsidRDefault="00980170">
      <w:pPr>
        <w:rPr>
          <w:rFonts w:asciiTheme="majorHAnsi" w:hAnsiTheme="majorHAnsi" w:cstheme="majorHAnsi"/>
          <w:sz w:val="24"/>
          <w:szCs w:val="24"/>
        </w:rPr>
      </w:pPr>
    </w:p>
    <w:p w14:paraId="2D20EE6F" w14:textId="6BD172BD" w:rsidR="00BD1A36" w:rsidRPr="00980170" w:rsidRDefault="00BD1A36">
      <w:pPr>
        <w:rPr>
          <w:rFonts w:asciiTheme="majorHAnsi" w:hAnsiTheme="majorHAnsi" w:cstheme="majorHAnsi"/>
          <w:sz w:val="24"/>
          <w:szCs w:val="24"/>
        </w:rPr>
      </w:pPr>
      <w:r w:rsidRPr="00980170">
        <w:rPr>
          <w:rFonts w:asciiTheme="majorHAnsi" w:hAnsiTheme="majorHAnsi" w:cstheme="majorHAnsi"/>
          <w:sz w:val="24"/>
          <w:szCs w:val="24"/>
        </w:rPr>
        <w:t>This needs assessment was created by a practitioner from the City of York Council Public Health Team. It was created with support from professionals working in in education, health, and social care in York, as well as parents of children and young people with special educational needs</w:t>
      </w:r>
      <w:r w:rsidR="00911F35">
        <w:rPr>
          <w:rFonts w:asciiTheme="majorHAnsi" w:hAnsiTheme="majorHAnsi" w:cstheme="majorHAnsi"/>
          <w:sz w:val="24"/>
          <w:szCs w:val="24"/>
        </w:rPr>
        <w:t xml:space="preserve"> and disability</w:t>
      </w:r>
      <w:r w:rsidRPr="00980170">
        <w:rPr>
          <w:rFonts w:asciiTheme="majorHAnsi" w:hAnsiTheme="majorHAnsi" w:cstheme="majorHAnsi"/>
          <w:sz w:val="24"/>
          <w:szCs w:val="24"/>
        </w:rPr>
        <w:t xml:space="preserve">. </w:t>
      </w:r>
    </w:p>
    <w:p w14:paraId="6367D324" w14:textId="77777777" w:rsidR="00980170" w:rsidRPr="00980170" w:rsidRDefault="00980170">
      <w:pPr>
        <w:rPr>
          <w:rFonts w:asciiTheme="majorHAnsi" w:hAnsiTheme="majorHAnsi" w:cstheme="majorHAnsi"/>
          <w:sz w:val="24"/>
          <w:szCs w:val="24"/>
        </w:rPr>
      </w:pPr>
      <w:r w:rsidRPr="00980170">
        <w:rPr>
          <w:rFonts w:asciiTheme="majorHAnsi" w:hAnsiTheme="majorHAnsi" w:cstheme="majorHAnsi"/>
          <w:sz w:val="24"/>
          <w:szCs w:val="24"/>
        </w:rPr>
        <w:t xml:space="preserve">It was presented to the SEND Improvement Board in October 2020, and subsequently to the York Director of Public Health. </w:t>
      </w:r>
    </w:p>
    <w:p w14:paraId="211BFC79" w14:textId="5709A190" w:rsidR="008B15E0" w:rsidRPr="00EB4A49" w:rsidRDefault="00BD1A36">
      <w:pPr>
        <w:rPr>
          <w:sz w:val="24"/>
          <w:szCs w:val="24"/>
        </w:rPr>
      </w:pPr>
      <w:r>
        <w:rPr>
          <w:sz w:val="24"/>
          <w:szCs w:val="24"/>
        </w:rPr>
        <w:t>T</w:t>
      </w:r>
      <w:r w:rsidR="008B15E0" w:rsidRPr="00EB4A49">
        <w:rPr>
          <w:sz w:val="24"/>
          <w:szCs w:val="24"/>
        </w:rPr>
        <w:t>his needs assessment looks at is the educational, social care, and health needs of children and young people who live in York and who have an identi</w:t>
      </w:r>
      <w:r w:rsidR="00D11AAE">
        <w:rPr>
          <w:sz w:val="24"/>
          <w:szCs w:val="24"/>
        </w:rPr>
        <w:t>fied ‘special educational need or disability.</w:t>
      </w:r>
      <w:r w:rsidR="008B15E0" w:rsidRPr="00EB4A49">
        <w:rPr>
          <w:sz w:val="24"/>
          <w:szCs w:val="24"/>
        </w:rPr>
        <w:t xml:space="preserve">  This encompasses children and young people from the day of their birth until the day of their 25</w:t>
      </w:r>
      <w:r w:rsidR="00181C69" w:rsidRPr="00EB4A49">
        <w:rPr>
          <w:sz w:val="24"/>
          <w:szCs w:val="24"/>
        </w:rPr>
        <w:t>th</w:t>
      </w:r>
      <w:r w:rsidR="008B15E0" w:rsidRPr="00EB4A49">
        <w:rPr>
          <w:sz w:val="24"/>
          <w:szCs w:val="24"/>
        </w:rPr>
        <w:t xml:space="preserve"> birthday. </w:t>
      </w:r>
    </w:p>
    <w:p w14:paraId="49B1731E" w14:textId="0A3D3B70" w:rsidR="008B15E0" w:rsidRPr="00EB4A49" w:rsidRDefault="00584DCF">
      <w:pPr>
        <w:rPr>
          <w:sz w:val="24"/>
          <w:szCs w:val="24"/>
        </w:rPr>
      </w:pPr>
      <w:r w:rsidRPr="00EB4A49">
        <w:rPr>
          <w:sz w:val="24"/>
          <w:szCs w:val="24"/>
        </w:rPr>
        <w:t>In some chapters</w:t>
      </w:r>
      <w:r w:rsidR="008B15E0" w:rsidRPr="00EB4A49">
        <w:rPr>
          <w:sz w:val="24"/>
          <w:szCs w:val="24"/>
        </w:rPr>
        <w:t xml:space="preserve"> this report will also look at the needs of family members such as parents or siblings, and outcomes for people after they reach their 25</w:t>
      </w:r>
      <w:r w:rsidR="00181C69" w:rsidRPr="00EB4A49">
        <w:rPr>
          <w:sz w:val="24"/>
          <w:szCs w:val="24"/>
        </w:rPr>
        <w:t>th</w:t>
      </w:r>
      <w:r w:rsidRPr="00EB4A49">
        <w:rPr>
          <w:sz w:val="24"/>
          <w:szCs w:val="24"/>
        </w:rPr>
        <w:t xml:space="preserve"> birthday;</w:t>
      </w:r>
      <w:r w:rsidR="008B15E0" w:rsidRPr="00EB4A49">
        <w:rPr>
          <w:sz w:val="24"/>
          <w:szCs w:val="24"/>
        </w:rPr>
        <w:t xml:space="preserve"> these chapters this will be made clear. </w:t>
      </w:r>
      <w:r w:rsidR="008D4B78" w:rsidRPr="00EB4A49">
        <w:rPr>
          <w:sz w:val="24"/>
          <w:szCs w:val="24"/>
        </w:rPr>
        <w:t>Likewise, in some chapters we will</w:t>
      </w:r>
      <w:r w:rsidRPr="00EB4A49">
        <w:rPr>
          <w:sz w:val="24"/>
          <w:szCs w:val="24"/>
        </w:rPr>
        <w:t xml:space="preserve"> look at signs of emerging need; </w:t>
      </w:r>
      <w:r w:rsidR="008D4B78" w:rsidRPr="00EB4A49">
        <w:rPr>
          <w:sz w:val="24"/>
          <w:szCs w:val="24"/>
        </w:rPr>
        <w:t>groups of children who are showing early signs of potentially developing a special educational need</w:t>
      </w:r>
      <w:r w:rsidR="00D11AAE">
        <w:rPr>
          <w:sz w:val="24"/>
          <w:szCs w:val="24"/>
        </w:rPr>
        <w:t xml:space="preserve"> or disability</w:t>
      </w:r>
      <w:r w:rsidR="008D4B78" w:rsidRPr="00EB4A49">
        <w:rPr>
          <w:sz w:val="24"/>
          <w:szCs w:val="24"/>
        </w:rPr>
        <w:t xml:space="preserve"> in the future, again in these chapters this will be made clear.  </w:t>
      </w:r>
    </w:p>
    <w:p w14:paraId="379A127A" w14:textId="0C785529" w:rsidR="008B15E0" w:rsidRPr="00EB4A49" w:rsidRDefault="008B15E0">
      <w:pPr>
        <w:rPr>
          <w:sz w:val="24"/>
          <w:szCs w:val="24"/>
        </w:rPr>
      </w:pPr>
      <w:r w:rsidRPr="00EB4A49">
        <w:rPr>
          <w:sz w:val="24"/>
          <w:szCs w:val="24"/>
        </w:rPr>
        <w:t>Throughout this report ‘special educational need</w:t>
      </w:r>
      <w:r w:rsidR="00911F35">
        <w:rPr>
          <w:sz w:val="24"/>
          <w:szCs w:val="24"/>
        </w:rPr>
        <w:t xml:space="preserve"> and disability</w:t>
      </w:r>
      <w:r w:rsidRPr="00EB4A49">
        <w:rPr>
          <w:sz w:val="24"/>
          <w:szCs w:val="24"/>
        </w:rPr>
        <w:t xml:space="preserve">’ </w:t>
      </w:r>
      <w:r w:rsidR="009350E4">
        <w:rPr>
          <w:sz w:val="24"/>
          <w:szCs w:val="24"/>
        </w:rPr>
        <w:t>(SEN</w:t>
      </w:r>
      <w:r w:rsidR="00911F35">
        <w:rPr>
          <w:sz w:val="24"/>
          <w:szCs w:val="24"/>
        </w:rPr>
        <w:t>D</w:t>
      </w:r>
      <w:r w:rsidR="009350E4">
        <w:rPr>
          <w:sz w:val="24"/>
          <w:szCs w:val="24"/>
        </w:rPr>
        <w:t xml:space="preserve">) </w:t>
      </w:r>
      <w:r w:rsidRPr="00EB4A49">
        <w:rPr>
          <w:sz w:val="24"/>
          <w:szCs w:val="24"/>
        </w:rPr>
        <w:t>is taken to mean a need</w:t>
      </w:r>
      <w:r w:rsidR="009350E4">
        <w:rPr>
          <w:sz w:val="24"/>
          <w:szCs w:val="24"/>
        </w:rPr>
        <w:t xml:space="preserve"> defined in Section 20 of the Children and Families Act 2014 and</w:t>
      </w:r>
      <w:r w:rsidR="00911F35">
        <w:rPr>
          <w:sz w:val="24"/>
          <w:szCs w:val="24"/>
        </w:rPr>
        <w:t xml:space="preserve"> identified through a </w:t>
      </w:r>
      <w:r w:rsidRPr="00EB4A49">
        <w:rPr>
          <w:sz w:val="24"/>
          <w:szCs w:val="24"/>
        </w:rPr>
        <w:t>SE</w:t>
      </w:r>
      <w:r w:rsidR="00911F35">
        <w:rPr>
          <w:sz w:val="24"/>
          <w:szCs w:val="24"/>
        </w:rPr>
        <w:t xml:space="preserve">N-Support Plan </w:t>
      </w:r>
      <w:r w:rsidR="00181C69" w:rsidRPr="00EB4A49">
        <w:rPr>
          <w:sz w:val="24"/>
          <w:szCs w:val="24"/>
        </w:rPr>
        <w:t>or through an ‘Education, Health, and C</w:t>
      </w:r>
      <w:r w:rsidR="00584DCF" w:rsidRPr="00EB4A49">
        <w:rPr>
          <w:sz w:val="24"/>
          <w:szCs w:val="24"/>
        </w:rPr>
        <w:t>are P</w:t>
      </w:r>
      <w:r w:rsidRPr="00EB4A49">
        <w:rPr>
          <w:sz w:val="24"/>
          <w:szCs w:val="24"/>
        </w:rPr>
        <w:t>lan’</w:t>
      </w:r>
      <w:r w:rsidR="009350E4">
        <w:rPr>
          <w:sz w:val="24"/>
          <w:szCs w:val="24"/>
        </w:rPr>
        <w:t xml:space="preserve"> (EHCP)</w:t>
      </w:r>
      <w:r w:rsidRPr="00EB4A49">
        <w:rPr>
          <w:sz w:val="24"/>
          <w:szCs w:val="24"/>
        </w:rPr>
        <w:t>. Therefore this needs assessment only looks at children and young people whos</w:t>
      </w:r>
      <w:r w:rsidR="008D4B78" w:rsidRPr="00EB4A49">
        <w:rPr>
          <w:sz w:val="24"/>
          <w:szCs w:val="24"/>
        </w:rPr>
        <w:t>e</w:t>
      </w:r>
      <w:r w:rsidRPr="00EB4A49">
        <w:rPr>
          <w:sz w:val="24"/>
          <w:szCs w:val="24"/>
        </w:rPr>
        <w:t xml:space="preserve"> </w:t>
      </w:r>
      <w:r w:rsidR="009350E4">
        <w:rPr>
          <w:sz w:val="24"/>
          <w:szCs w:val="24"/>
        </w:rPr>
        <w:t>need (</w:t>
      </w:r>
      <w:r w:rsidRPr="00EB4A49">
        <w:rPr>
          <w:sz w:val="24"/>
          <w:szCs w:val="24"/>
        </w:rPr>
        <w:t>disability, learning disability, mental healt</w:t>
      </w:r>
      <w:r w:rsidR="00181C69" w:rsidRPr="00EB4A49">
        <w:rPr>
          <w:sz w:val="24"/>
          <w:szCs w:val="24"/>
        </w:rPr>
        <w:t>h condition, or care need</w:t>
      </w:r>
      <w:r w:rsidR="009350E4">
        <w:rPr>
          <w:sz w:val="24"/>
          <w:szCs w:val="24"/>
        </w:rPr>
        <w:t>)</w:t>
      </w:r>
      <w:r w:rsidR="00181C69" w:rsidRPr="00EB4A49">
        <w:rPr>
          <w:sz w:val="24"/>
          <w:szCs w:val="24"/>
        </w:rPr>
        <w:t xml:space="preserve"> has an </w:t>
      </w:r>
      <w:r w:rsidRPr="00EB4A49">
        <w:rPr>
          <w:sz w:val="24"/>
          <w:szCs w:val="24"/>
        </w:rPr>
        <w:t xml:space="preserve">impact on the way that child or young person accesses their education. </w:t>
      </w:r>
      <w:r w:rsidR="008D4B78" w:rsidRPr="00EB4A49">
        <w:rPr>
          <w:sz w:val="24"/>
          <w:szCs w:val="24"/>
        </w:rPr>
        <w:t>As a result, n</w:t>
      </w:r>
      <w:r w:rsidRPr="00EB4A49">
        <w:rPr>
          <w:sz w:val="24"/>
          <w:szCs w:val="24"/>
        </w:rPr>
        <w:t>ot all children who are supported by the NHS for long term health need, or are supported through social care will be included in this review. In some chapters of this report we will also look at these childre</w:t>
      </w:r>
      <w:r w:rsidR="008D4B78" w:rsidRPr="00EB4A49">
        <w:rPr>
          <w:sz w:val="24"/>
          <w:szCs w:val="24"/>
        </w:rPr>
        <w:t xml:space="preserve">n who do not have an identified </w:t>
      </w:r>
      <w:r w:rsidRPr="00EB4A49">
        <w:rPr>
          <w:sz w:val="24"/>
          <w:szCs w:val="24"/>
        </w:rPr>
        <w:t>special educational need</w:t>
      </w:r>
      <w:r w:rsidR="00D11AAE">
        <w:rPr>
          <w:sz w:val="24"/>
          <w:szCs w:val="24"/>
        </w:rPr>
        <w:t xml:space="preserve"> or disability</w:t>
      </w:r>
      <w:r w:rsidRPr="00EB4A49">
        <w:rPr>
          <w:sz w:val="24"/>
          <w:szCs w:val="24"/>
        </w:rPr>
        <w:t xml:space="preserve">, in these chapters this will be made clear. </w:t>
      </w:r>
    </w:p>
    <w:p w14:paraId="2CC39E39" w14:textId="5FF9434A" w:rsidR="008D4B78" w:rsidRDefault="00BD1A36">
      <w:pPr>
        <w:rPr>
          <w:sz w:val="24"/>
          <w:szCs w:val="24"/>
        </w:rPr>
      </w:pPr>
      <w:r>
        <w:rPr>
          <w:sz w:val="24"/>
          <w:szCs w:val="24"/>
        </w:rPr>
        <w:t>T</w:t>
      </w:r>
      <w:r w:rsidR="008D4B78" w:rsidRPr="00EB4A49">
        <w:rPr>
          <w:sz w:val="24"/>
          <w:szCs w:val="24"/>
        </w:rPr>
        <w:t>his needs assessment looks at are the services that work to support children and young people with an identified special educational need</w:t>
      </w:r>
      <w:r w:rsidR="00D11AAE">
        <w:rPr>
          <w:sz w:val="24"/>
          <w:szCs w:val="24"/>
        </w:rPr>
        <w:t xml:space="preserve"> or disability</w:t>
      </w:r>
      <w:r w:rsidR="008D4B78" w:rsidRPr="00EB4A49">
        <w:rPr>
          <w:sz w:val="24"/>
          <w:szCs w:val="24"/>
        </w:rPr>
        <w:t>. In the main, this needs assessment will focus on the triad of education, health, and social ca</w:t>
      </w:r>
      <w:r w:rsidR="00584DCF" w:rsidRPr="00EB4A49">
        <w:rPr>
          <w:sz w:val="24"/>
          <w:szCs w:val="24"/>
        </w:rPr>
        <w:t>re support systems and services;</w:t>
      </w:r>
      <w:r w:rsidR="008D4B78" w:rsidRPr="00EB4A49">
        <w:rPr>
          <w:sz w:val="24"/>
          <w:szCs w:val="24"/>
        </w:rPr>
        <w:t xml:space="preserve"> however in some chapters this will be extended to other stat</w:t>
      </w:r>
      <w:r w:rsidR="00584DCF" w:rsidRPr="00EB4A49">
        <w:rPr>
          <w:sz w:val="24"/>
          <w:szCs w:val="24"/>
        </w:rPr>
        <w:t>utory and community services that</w:t>
      </w:r>
      <w:r w:rsidR="008D4B78" w:rsidRPr="00EB4A49">
        <w:rPr>
          <w:sz w:val="24"/>
          <w:szCs w:val="24"/>
        </w:rPr>
        <w:t xml:space="preserve"> have sustained and meani</w:t>
      </w:r>
      <w:r w:rsidR="00932C25" w:rsidRPr="00EB4A49">
        <w:rPr>
          <w:sz w:val="24"/>
          <w:szCs w:val="24"/>
        </w:rPr>
        <w:t>ngful contact with CYP with SEN</w:t>
      </w:r>
      <w:r w:rsidR="008D4B78" w:rsidRPr="00EB4A49">
        <w:rPr>
          <w:sz w:val="24"/>
          <w:szCs w:val="24"/>
        </w:rPr>
        <w:t xml:space="preserve">. </w:t>
      </w:r>
    </w:p>
    <w:p w14:paraId="6799CA9E" w14:textId="77777777" w:rsidR="004741AC" w:rsidRPr="00BD1A36" w:rsidRDefault="004741AC">
      <w:pPr>
        <w:rPr>
          <w:sz w:val="24"/>
          <w:szCs w:val="24"/>
        </w:rPr>
      </w:pPr>
    </w:p>
    <w:p w14:paraId="11FF0E68" w14:textId="77777777" w:rsidR="004741AC" w:rsidRPr="00EB4A49" w:rsidRDefault="004741AC">
      <w:pPr>
        <w:rPr>
          <w:rFonts w:asciiTheme="majorHAnsi" w:hAnsiTheme="majorHAnsi" w:cstheme="majorHAnsi"/>
          <w:b/>
          <w:sz w:val="24"/>
          <w:szCs w:val="24"/>
        </w:rPr>
      </w:pPr>
    </w:p>
    <w:p w14:paraId="00D85AB1" w14:textId="77777777" w:rsidR="004741AC" w:rsidRPr="00EB4A49" w:rsidRDefault="004741AC">
      <w:pPr>
        <w:rPr>
          <w:rFonts w:asciiTheme="majorHAnsi" w:eastAsiaTheme="majorEastAsia" w:hAnsiTheme="majorHAnsi" w:cstheme="majorHAnsi"/>
          <w:b/>
          <w:color w:val="2E74B5" w:themeColor="accent1" w:themeShade="BF"/>
          <w:sz w:val="24"/>
          <w:szCs w:val="24"/>
        </w:rPr>
      </w:pPr>
      <w:r w:rsidRPr="00EB4A49">
        <w:rPr>
          <w:rFonts w:cstheme="majorHAnsi"/>
          <w:b/>
          <w:sz w:val="24"/>
          <w:szCs w:val="24"/>
        </w:rPr>
        <w:br w:type="page"/>
      </w:r>
    </w:p>
    <w:p w14:paraId="071BE08B" w14:textId="77777777" w:rsidR="005F40D9" w:rsidRPr="00EB4A49" w:rsidRDefault="003E6BA6" w:rsidP="00177DBD">
      <w:pPr>
        <w:pStyle w:val="Heading1"/>
        <w:rPr>
          <w:rFonts w:cstheme="majorHAnsi"/>
          <w:b/>
          <w:sz w:val="24"/>
          <w:szCs w:val="24"/>
        </w:rPr>
      </w:pPr>
      <w:bookmarkStart w:id="2" w:name="_Toc58575062"/>
      <w:r w:rsidRPr="00EB4A49">
        <w:rPr>
          <w:rFonts w:cstheme="majorHAnsi"/>
          <w:b/>
          <w:sz w:val="24"/>
          <w:szCs w:val="24"/>
        </w:rPr>
        <w:lastRenderedPageBreak/>
        <w:t>C</w:t>
      </w:r>
      <w:r w:rsidR="005F40D9" w:rsidRPr="00EB4A49">
        <w:rPr>
          <w:rFonts w:cstheme="majorHAnsi"/>
          <w:b/>
          <w:sz w:val="24"/>
          <w:szCs w:val="24"/>
        </w:rPr>
        <w:t>ontext</w:t>
      </w:r>
      <w:bookmarkEnd w:id="2"/>
    </w:p>
    <w:p w14:paraId="5381D65D" w14:textId="77777777" w:rsidR="00AA6492" w:rsidRPr="00EB4A49" w:rsidRDefault="00AA6492">
      <w:pPr>
        <w:rPr>
          <w:rFonts w:asciiTheme="majorHAnsi" w:hAnsiTheme="majorHAnsi" w:cstheme="majorHAnsi"/>
          <w:sz w:val="24"/>
          <w:szCs w:val="24"/>
        </w:rPr>
      </w:pPr>
    </w:p>
    <w:p w14:paraId="37099706" w14:textId="77777777" w:rsidR="004741AC" w:rsidRPr="00EB4A49" w:rsidRDefault="004741AC" w:rsidP="00964153">
      <w:pPr>
        <w:pStyle w:val="Heading2"/>
        <w:rPr>
          <w:rFonts w:cstheme="majorHAnsi"/>
          <w:sz w:val="24"/>
          <w:szCs w:val="24"/>
        </w:rPr>
      </w:pPr>
      <w:bookmarkStart w:id="3" w:name="_Toc58575063"/>
      <w:r w:rsidRPr="00EB4A49">
        <w:rPr>
          <w:rFonts w:cstheme="majorHAnsi"/>
          <w:sz w:val="24"/>
          <w:szCs w:val="24"/>
        </w:rPr>
        <w:t xml:space="preserve">The </w:t>
      </w:r>
      <w:r w:rsidR="009350E4">
        <w:rPr>
          <w:rFonts w:cstheme="majorHAnsi"/>
          <w:sz w:val="24"/>
          <w:szCs w:val="24"/>
        </w:rPr>
        <w:t xml:space="preserve">Children and Families Act 2014 and </w:t>
      </w:r>
      <w:r w:rsidRPr="00EB4A49">
        <w:rPr>
          <w:rFonts w:cstheme="majorHAnsi"/>
          <w:sz w:val="24"/>
          <w:szCs w:val="24"/>
        </w:rPr>
        <w:t>SEND Code of Practice</w:t>
      </w:r>
      <w:bookmarkEnd w:id="3"/>
      <w:r w:rsidRPr="00EB4A49">
        <w:rPr>
          <w:rFonts w:cstheme="majorHAnsi"/>
          <w:sz w:val="24"/>
          <w:szCs w:val="24"/>
        </w:rPr>
        <w:t xml:space="preserve"> </w:t>
      </w:r>
    </w:p>
    <w:p w14:paraId="05F38C43" w14:textId="4BD4BE94" w:rsidR="004741AC" w:rsidRPr="00EB4A49" w:rsidRDefault="004741AC">
      <w:pPr>
        <w:rPr>
          <w:rFonts w:asciiTheme="majorHAnsi" w:hAnsiTheme="majorHAnsi" w:cstheme="majorHAnsi"/>
          <w:color w:val="0B0C0C"/>
          <w:sz w:val="24"/>
          <w:szCs w:val="24"/>
        </w:rPr>
      </w:pPr>
      <w:r w:rsidRPr="00EB4A49">
        <w:rPr>
          <w:rFonts w:asciiTheme="majorHAnsi" w:hAnsiTheme="majorHAnsi" w:cstheme="majorHAnsi"/>
          <w:sz w:val="24"/>
          <w:szCs w:val="24"/>
        </w:rPr>
        <w:t xml:space="preserve">The </w:t>
      </w:r>
      <w:r w:rsidR="009350E4">
        <w:rPr>
          <w:rFonts w:asciiTheme="majorHAnsi" w:hAnsiTheme="majorHAnsi" w:cstheme="majorHAnsi"/>
          <w:sz w:val="24"/>
          <w:szCs w:val="24"/>
        </w:rPr>
        <w:t xml:space="preserve">2014 Act, and </w:t>
      </w:r>
      <w:r w:rsidRPr="00EB4A49">
        <w:rPr>
          <w:rFonts w:asciiTheme="majorHAnsi" w:hAnsiTheme="majorHAnsi" w:cstheme="majorHAnsi"/>
          <w:sz w:val="24"/>
          <w:szCs w:val="24"/>
        </w:rPr>
        <w:t>SEND Code of Practice 2015</w:t>
      </w:r>
      <w:r w:rsidRPr="00EB4A49">
        <w:rPr>
          <w:rStyle w:val="FootnoteReference"/>
          <w:rFonts w:asciiTheme="majorHAnsi" w:hAnsiTheme="majorHAnsi" w:cstheme="majorHAnsi"/>
          <w:sz w:val="24"/>
          <w:szCs w:val="24"/>
        </w:rPr>
        <w:footnoteReference w:id="1"/>
      </w:r>
      <w:r w:rsidRPr="00EB4A49">
        <w:rPr>
          <w:rFonts w:asciiTheme="majorHAnsi" w:hAnsiTheme="majorHAnsi" w:cstheme="majorHAnsi"/>
          <w:b/>
          <w:sz w:val="24"/>
          <w:szCs w:val="24"/>
        </w:rPr>
        <w:t xml:space="preserve">  </w:t>
      </w:r>
      <w:r w:rsidR="009350E4">
        <w:rPr>
          <w:rFonts w:asciiTheme="majorHAnsi" w:hAnsiTheme="majorHAnsi" w:cstheme="majorHAnsi"/>
          <w:color w:val="0B0C0C"/>
          <w:sz w:val="24"/>
          <w:szCs w:val="24"/>
        </w:rPr>
        <w:t xml:space="preserve">sets out </w:t>
      </w:r>
      <w:r w:rsidRPr="00EB4A49">
        <w:rPr>
          <w:rFonts w:asciiTheme="majorHAnsi" w:hAnsiTheme="majorHAnsi" w:cstheme="majorHAnsi"/>
          <w:color w:val="0B0C0C"/>
          <w:sz w:val="24"/>
          <w:szCs w:val="24"/>
        </w:rPr>
        <w:t>the duties of local authorities, health bodies, schools and colleges to provide for those</w:t>
      </w:r>
      <w:r w:rsidR="009350E4">
        <w:rPr>
          <w:rFonts w:asciiTheme="majorHAnsi" w:hAnsiTheme="majorHAnsi" w:cstheme="majorHAnsi"/>
          <w:color w:val="0B0C0C"/>
          <w:sz w:val="24"/>
          <w:szCs w:val="24"/>
        </w:rPr>
        <w:t xml:space="preserve"> with</w:t>
      </w:r>
      <w:r w:rsidR="00911F35">
        <w:rPr>
          <w:rFonts w:asciiTheme="majorHAnsi" w:hAnsiTheme="majorHAnsi" w:cstheme="majorHAnsi"/>
          <w:color w:val="0B0C0C"/>
          <w:sz w:val="24"/>
          <w:szCs w:val="24"/>
        </w:rPr>
        <w:t xml:space="preserve"> special educational needs and disability. SEND </w:t>
      </w:r>
      <w:r w:rsidR="009350E4">
        <w:rPr>
          <w:rFonts w:asciiTheme="majorHAnsi" w:hAnsiTheme="majorHAnsi" w:cstheme="majorHAnsi"/>
          <w:color w:val="0B0C0C"/>
          <w:sz w:val="24"/>
          <w:szCs w:val="24"/>
        </w:rPr>
        <w:t>is defined as:</w:t>
      </w:r>
    </w:p>
    <w:tbl>
      <w:tblPr>
        <w:tblStyle w:val="TableGrid"/>
        <w:tblW w:w="0" w:type="auto"/>
        <w:tblInd w:w="562" w:type="dxa"/>
        <w:tblLook w:val="04A0" w:firstRow="1" w:lastRow="0" w:firstColumn="1" w:lastColumn="0" w:noHBand="0" w:noVBand="1"/>
      </w:tblPr>
      <w:tblGrid>
        <w:gridCol w:w="7655"/>
      </w:tblGrid>
      <w:tr w:rsidR="00932C25" w:rsidRPr="00EB4A49" w14:paraId="7D325D4D" w14:textId="77777777" w:rsidTr="00511DA1">
        <w:tc>
          <w:tcPr>
            <w:tcW w:w="7655" w:type="dxa"/>
          </w:tcPr>
          <w:p w14:paraId="6B5899F7" w14:textId="77777777" w:rsidR="00932C25" w:rsidRPr="00EB4A49" w:rsidRDefault="00932C25" w:rsidP="00932C25">
            <w:pPr>
              <w:rPr>
                <w:rFonts w:asciiTheme="majorHAnsi" w:hAnsiTheme="majorHAnsi" w:cstheme="majorHAnsi"/>
                <w:color w:val="0B0C0C"/>
                <w:sz w:val="24"/>
                <w:szCs w:val="24"/>
              </w:rPr>
            </w:pPr>
            <w:r w:rsidRPr="00EB4A49">
              <w:rPr>
                <w:rFonts w:asciiTheme="majorHAnsi" w:hAnsiTheme="majorHAnsi" w:cstheme="majorHAnsi"/>
                <w:color w:val="0B0C0C"/>
                <w:sz w:val="24"/>
                <w:szCs w:val="24"/>
              </w:rPr>
              <w:t xml:space="preserve">“A child or young person has SEN if they have a learning difficulty or disability which calls for special educational provision to be made for him or her.”  </w:t>
            </w:r>
          </w:p>
          <w:p w14:paraId="41177857" w14:textId="77777777" w:rsidR="00932C25" w:rsidRPr="00EB4A49" w:rsidRDefault="00932C25" w:rsidP="00932C25">
            <w:pPr>
              <w:rPr>
                <w:rFonts w:asciiTheme="majorHAnsi" w:hAnsiTheme="majorHAnsi" w:cstheme="majorHAnsi"/>
                <w:color w:val="0B0C0C"/>
                <w:sz w:val="24"/>
                <w:szCs w:val="24"/>
              </w:rPr>
            </w:pPr>
          </w:p>
          <w:p w14:paraId="3C7072C1" w14:textId="77777777" w:rsidR="00932C25" w:rsidRPr="00EB4A49" w:rsidRDefault="00932C25" w:rsidP="00932C25">
            <w:pPr>
              <w:rPr>
                <w:rFonts w:asciiTheme="majorHAnsi" w:hAnsiTheme="majorHAnsi" w:cstheme="majorHAnsi"/>
                <w:color w:val="0B0C0C"/>
                <w:sz w:val="24"/>
                <w:szCs w:val="24"/>
              </w:rPr>
            </w:pPr>
            <w:r w:rsidRPr="00EB4A49">
              <w:rPr>
                <w:rFonts w:asciiTheme="majorHAnsi" w:hAnsiTheme="majorHAnsi" w:cstheme="majorHAnsi"/>
                <w:color w:val="0B0C0C"/>
                <w:sz w:val="24"/>
                <w:szCs w:val="24"/>
              </w:rPr>
              <w:t>“A child of compulsory school age or older has SEN if he/she has a significantly greater difficulty in learning than the majority of others of the same age, or has a disability which prevents or hinders him or her from making use of facilities of a kind generally provided for others of the same age in mainstream schools or mainstream post-16 institutions.”</w:t>
            </w:r>
          </w:p>
          <w:p w14:paraId="40EF2517" w14:textId="77777777" w:rsidR="00932C25" w:rsidRPr="00EB4A49" w:rsidRDefault="00932C25" w:rsidP="00932C25">
            <w:pPr>
              <w:rPr>
                <w:rFonts w:asciiTheme="majorHAnsi" w:hAnsiTheme="majorHAnsi" w:cstheme="majorHAnsi"/>
                <w:color w:val="0B0C0C"/>
                <w:sz w:val="24"/>
                <w:szCs w:val="24"/>
              </w:rPr>
            </w:pPr>
          </w:p>
          <w:p w14:paraId="316EA811" w14:textId="77777777" w:rsidR="00932C25" w:rsidRPr="00EB4A49" w:rsidRDefault="00932C25">
            <w:pPr>
              <w:rPr>
                <w:rFonts w:asciiTheme="majorHAnsi" w:hAnsiTheme="majorHAnsi" w:cstheme="majorHAnsi"/>
                <w:color w:val="0B0C0C"/>
                <w:sz w:val="24"/>
                <w:szCs w:val="24"/>
              </w:rPr>
            </w:pPr>
            <w:r w:rsidRPr="00EB4A49">
              <w:rPr>
                <w:rFonts w:asciiTheme="majorHAnsi" w:hAnsiTheme="majorHAnsi" w:cstheme="majorHAnsi"/>
                <w:color w:val="0B0C0C"/>
                <w:sz w:val="24"/>
                <w:szCs w:val="24"/>
              </w:rPr>
              <w:t xml:space="preserve">“A child under compulsory school age has special educational needs if he or she is likely to fall within the definition in </w:t>
            </w:r>
            <w:r w:rsidR="00584DCF" w:rsidRPr="00EB4A49">
              <w:rPr>
                <w:rFonts w:asciiTheme="majorHAnsi" w:hAnsiTheme="majorHAnsi" w:cstheme="majorHAnsi"/>
                <w:color w:val="0B0C0C"/>
                <w:sz w:val="24"/>
                <w:szCs w:val="24"/>
              </w:rPr>
              <w:t xml:space="preserve">the </w:t>
            </w:r>
            <w:r w:rsidRPr="00EB4A49">
              <w:rPr>
                <w:rFonts w:asciiTheme="majorHAnsi" w:hAnsiTheme="majorHAnsi" w:cstheme="majorHAnsi"/>
                <w:color w:val="0B0C0C"/>
                <w:sz w:val="24"/>
                <w:szCs w:val="24"/>
              </w:rPr>
              <w:t>paragraph above when they reach compulsory school age or would do so if special educational provision was not made for them.”</w:t>
            </w:r>
          </w:p>
        </w:tc>
      </w:tr>
    </w:tbl>
    <w:p w14:paraId="10325DF8" w14:textId="77777777" w:rsidR="00932C25" w:rsidRPr="00EB4A49" w:rsidRDefault="00932C25">
      <w:pPr>
        <w:rPr>
          <w:rFonts w:asciiTheme="majorHAnsi" w:hAnsiTheme="majorHAnsi" w:cstheme="majorHAnsi"/>
          <w:color w:val="0B0C0C"/>
          <w:sz w:val="24"/>
          <w:szCs w:val="24"/>
        </w:rPr>
      </w:pPr>
    </w:p>
    <w:p w14:paraId="774BA478" w14:textId="687CF264" w:rsidR="00932C25" w:rsidRPr="00EB4A49" w:rsidRDefault="00932C25" w:rsidP="004741AC">
      <w:pPr>
        <w:rPr>
          <w:rFonts w:asciiTheme="majorHAnsi" w:hAnsiTheme="majorHAnsi" w:cstheme="majorHAnsi"/>
          <w:color w:val="0B0C0C"/>
          <w:sz w:val="24"/>
          <w:szCs w:val="24"/>
        </w:rPr>
      </w:pPr>
      <w:r w:rsidRPr="00EB4A49">
        <w:rPr>
          <w:rFonts w:asciiTheme="majorHAnsi" w:hAnsiTheme="majorHAnsi" w:cstheme="majorHAnsi"/>
          <w:color w:val="0B0C0C"/>
          <w:sz w:val="24"/>
          <w:szCs w:val="24"/>
        </w:rPr>
        <w:t>The code of practice also sets out that not a</w:t>
      </w:r>
      <w:r w:rsidR="009350E4">
        <w:rPr>
          <w:rFonts w:asciiTheme="majorHAnsi" w:hAnsiTheme="majorHAnsi" w:cstheme="majorHAnsi"/>
          <w:color w:val="0B0C0C"/>
          <w:sz w:val="24"/>
          <w:szCs w:val="24"/>
        </w:rPr>
        <w:t>ll children with a disability or</w:t>
      </w:r>
      <w:r w:rsidRPr="00EB4A49">
        <w:rPr>
          <w:rFonts w:asciiTheme="majorHAnsi" w:hAnsiTheme="majorHAnsi" w:cstheme="majorHAnsi"/>
          <w:color w:val="0B0C0C"/>
          <w:sz w:val="24"/>
          <w:szCs w:val="24"/>
        </w:rPr>
        <w:t xml:space="preserve"> long term health condition has </w:t>
      </w:r>
      <w:r w:rsidR="00D11AAE">
        <w:rPr>
          <w:rFonts w:asciiTheme="majorHAnsi" w:hAnsiTheme="majorHAnsi" w:cstheme="majorHAnsi"/>
          <w:color w:val="0B0C0C"/>
          <w:sz w:val="24"/>
          <w:szCs w:val="24"/>
        </w:rPr>
        <w:t>SEND.</w:t>
      </w:r>
    </w:p>
    <w:tbl>
      <w:tblPr>
        <w:tblStyle w:val="TableGrid"/>
        <w:tblW w:w="0" w:type="auto"/>
        <w:tblInd w:w="562" w:type="dxa"/>
        <w:tblLook w:val="04A0" w:firstRow="1" w:lastRow="0" w:firstColumn="1" w:lastColumn="0" w:noHBand="0" w:noVBand="1"/>
      </w:tblPr>
      <w:tblGrid>
        <w:gridCol w:w="7655"/>
      </w:tblGrid>
      <w:tr w:rsidR="00932C25" w:rsidRPr="00EB4A49" w14:paraId="1EF06AB3" w14:textId="77777777" w:rsidTr="00511DA1">
        <w:tc>
          <w:tcPr>
            <w:tcW w:w="7655" w:type="dxa"/>
          </w:tcPr>
          <w:p w14:paraId="2BF18455" w14:textId="77777777" w:rsidR="00932C25" w:rsidRPr="00EB4A49" w:rsidRDefault="00932C25" w:rsidP="00932C25">
            <w:pPr>
              <w:rPr>
                <w:rFonts w:asciiTheme="majorHAnsi" w:hAnsiTheme="majorHAnsi" w:cstheme="majorHAnsi"/>
                <w:color w:val="0B0C0C"/>
                <w:sz w:val="24"/>
                <w:szCs w:val="24"/>
              </w:rPr>
            </w:pPr>
            <w:r w:rsidRPr="00EB4A49">
              <w:rPr>
                <w:rFonts w:asciiTheme="majorHAnsi" w:hAnsiTheme="majorHAnsi" w:cstheme="majorHAnsi"/>
                <w:color w:val="0B0C0C"/>
                <w:sz w:val="24"/>
                <w:szCs w:val="24"/>
              </w:rPr>
              <w:t xml:space="preserve">“Many children and young people who have SEN may have a disability under the Equality Act 2010 – that is ‘…a physical or mental impairment which has a long-term (more than a year) and substantial adverse effect (more than minor) on their ability to carry out normal day-to-day activities’.” </w:t>
            </w:r>
          </w:p>
          <w:p w14:paraId="6B6E8AB7" w14:textId="77777777" w:rsidR="00932C25" w:rsidRPr="00EB4A49" w:rsidRDefault="00932C25" w:rsidP="00932C25">
            <w:pPr>
              <w:rPr>
                <w:rFonts w:asciiTheme="majorHAnsi" w:hAnsiTheme="majorHAnsi" w:cstheme="majorHAnsi"/>
                <w:color w:val="0B0C0C"/>
                <w:sz w:val="24"/>
                <w:szCs w:val="24"/>
              </w:rPr>
            </w:pPr>
          </w:p>
          <w:p w14:paraId="0ACC8685" w14:textId="77777777" w:rsidR="00932C25" w:rsidRPr="00EB4A49" w:rsidRDefault="00932C25" w:rsidP="00932C25">
            <w:pPr>
              <w:rPr>
                <w:rFonts w:asciiTheme="majorHAnsi" w:hAnsiTheme="majorHAnsi" w:cstheme="majorHAnsi"/>
                <w:color w:val="0B0C0C"/>
                <w:sz w:val="24"/>
                <w:szCs w:val="24"/>
              </w:rPr>
            </w:pPr>
            <w:r w:rsidRPr="00EB4A49">
              <w:rPr>
                <w:rFonts w:asciiTheme="majorHAnsi" w:hAnsiTheme="majorHAnsi" w:cstheme="majorHAnsi"/>
                <w:color w:val="0B0C0C"/>
                <w:sz w:val="24"/>
                <w:szCs w:val="24"/>
              </w:rPr>
              <w:t xml:space="preserve">“This definition includes sensory impairments such as those affecting sight or hearing, and long-term health conditions such as asthma, diabetes, epilepsy, and cancer.” </w:t>
            </w:r>
          </w:p>
          <w:p w14:paraId="63514F7E" w14:textId="77777777" w:rsidR="00932C25" w:rsidRPr="00EB4A49" w:rsidRDefault="00932C25" w:rsidP="00932C25">
            <w:pPr>
              <w:rPr>
                <w:rFonts w:asciiTheme="majorHAnsi" w:hAnsiTheme="majorHAnsi" w:cstheme="majorHAnsi"/>
                <w:color w:val="0B0C0C"/>
                <w:sz w:val="24"/>
                <w:szCs w:val="24"/>
              </w:rPr>
            </w:pPr>
          </w:p>
          <w:p w14:paraId="416370EF" w14:textId="77777777" w:rsidR="00932C25" w:rsidRPr="00EB4A49" w:rsidRDefault="00932C25" w:rsidP="004741AC">
            <w:pPr>
              <w:rPr>
                <w:rFonts w:asciiTheme="majorHAnsi" w:hAnsiTheme="majorHAnsi" w:cstheme="majorHAnsi"/>
                <w:color w:val="0B0C0C"/>
                <w:sz w:val="24"/>
                <w:szCs w:val="24"/>
              </w:rPr>
            </w:pPr>
            <w:r w:rsidRPr="00EB4A49">
              <w:rPr>
                <w:rFonts w:asciiTheme="majorHAnsi" w:hAnsiTheme="majorHAnsi" w:cstheme="majorHAnsi"/>
                <w:color w:val="0B0C0C"/>
                <w:sz w:val="24"/>
                <w:szCs w:val="24"/>
              </w:rPr>
              <w:t>“Children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w:t>
            </w:r>
          </w:p>
        </w:tc>
      </w:tr>
    </w:tbl>
    <w:p w14:paraId="083A21C2" w14:textId="77777777" w:rsidR="004741AC" w:rsidRPr="00EB4A49" w:rsidRDefault="004741AC">
      <w:pPr>
        <w:rPr>
          <w:rFonts w:asciiTheme="majorHAnsi" w:hAnsiTheme="majorHAnsi" w:cstheme="majorHAnsi"/>
          <w:b/>
          <w:sz w:val="24"/>
          <w:szCs w:val="24"/>
        </w:rPr>
      </w:pPr>
    </w:p>
    <w:p w14:paraId="392DC2F4" w14:textId="77777777" w:rsidR="00511DA1" w:rsidRPr="00EB4A49" w:rsidRDefault="00511DA1">
      <w:pPr>
        <w:rPr>
          <w:rFonts w:asciiTheme="majorHAnsi" w:hAnsiTheme="majorHAnsi" w:cstheme="majorHAnsi"/>
          <w:b/>
          <w:sz w:val="24"/>
          <w:szCs w:val="24"/>
        </w:rPr>
      </w:pPr>
    </w:p>
    <w:p w14:paraId="2B9CDC50" w14:textId="77777777" w:rsidR="00DD1EAF" w:rsidRPr="00EB4A49" w:rsidRDefault="00181C69" w:rsidP="00964153">
      <w:pPr>
        <w:pStyle w:val="Heading2"/>
        <w:rPr>
          <w:rFonts w:cstheme="majorHAnsi"/>
          <w:sz w:val="24"/>
          <w:szCs w:val="24"/>
        </w:rPr>
      </w:pPr>
      <w:bookmarkStart w:id="4" w:name="_Toc58575064"/>
      <w:r w:rsidRPr="00EB4A49">
        <w:rPr>
          <w:rFonts w:cstheme="majorHAnsi"/>
          <w:sz w:val="24"/>
          <w:szCs w:val="24"/>
        </w:rPr>
        <w:t>OFSTED and CQC inspection</w:t>
      </w:r>
      <w:bookmarkEnd w:id="4"/>
      <w:r w:rsidRPr="00EB4A49">
        <w:rPr>
          <w:rFonts w:cstheme="majorHAnsi"/>
          <w:sz w:val="24"/>
          <w:szCs w:val="24"/>
        </w:rPr>
        <w:t xml:space="preserve"> </w:t>
      </w:r>
    </w:p>
    <w:p w14:paraId="3BBCC274" w14:textId="52181A8C" w:rsidR="006B0486" w:rsidRPr="00EB4A49" w:rsidRDefault="00181C69">
      <w:pPr>
        <w:rPr>
          <w:rFonts w:asciiTheme="majorHAnsi" w:hAnsiTheme="majorHAnsi" w:cstheme="majorHAnsi"/>
          <w:sz w:val="24"/>
          <w:szCs w:val="24"/>
        </w:rPr>
      </w:pPr>
      <w:r w:rsidRPr="00EB4A49">
        <w:rPr>
          <w:rFonts w:asciiTheme="majorHAnsi" w:hAnsiTheme="majorHAnsi" w:cstheme="majorHAnsi"/>
          <w:sz w:val="24"/>
          <w:szCs w:val="24"/>
        </w:rPr>
        <w:t xml:space="preserve">Between 9 December 2019 and 13 December 2019, Ofsted and the Care Quality Commission (CQC) conducted a joint </w:t>
      </w:r>
      <w:r w:rsidR="00BD1A36">
        <w:rPr>
          <w:rFonts w:asciiTheme="majorHAnsi" w:hAnsiTheme="majorHAnsi" w:cstheme="majorHAnsi"/>
          <w:sz w:val="24"/>
          <w:szCs w:val="24"/>
        </w:rPr>
        <w:t>inspection of Yo</w:t>
      </w:r>
      <w:r w:rsidRPr="00EB4A49">
        <w:rPr>
          <w:rFonts w:asciiTheme="majorHAnsi" w:hAnsiTheme="majorHAnsi" w:cstheme="majorHAnsi"/>
          <w:sz w:val="24"/>
          <w:szCs w:val="24"/>
        </w:rPr>
        <w:t xml:space="preserve">rk to judge the effectiveness of the area in </w:t>
      </w:r>
      <w:r w:rsidRPr="00EB4A49">
        <w:rPr>
          <w:rFonts w:asciiTheme="majorHAnsi" w:hAnsiTheme="majorHAnsi" w:cstheme="majorHAnsi"/>
          <w:sz w:val="24"/>
          <w:szCs w:val="24"/>
        </w:rPr>
        <w:lastRenderedPageBreak/>
        <w:t xml:space="preserve">implementing the special educational needs </w:t>
      </w:r>
      <w:r w:rsidR="00911F35">
        <w:rPr>
          <w:rFonts w:asciiTheme="majorHAnsi" w:hAnsiTheme="majorHAnsi" w:cstheme="majorHAnsi"/>
          <w:sz w:val="24"/>
          <w:szCs w:val="24"/>
        </w:rPr>
        <w:t>and disability code of practice as s</w:t>
      </w:r>
      <w:r w:rsidRPr="00EB4A49">
        <w:rPr>
          <w:rFonts w:asciiTheme="majorHAnsi" w:hAnsiTheme="majorHAnsi" w:cstheme="majorHAnsi"/>
          <w:sz w:val="24"/>
          <w:szCs w:val="24"/>
        </w:rPr>
        <w:t>et out in the Children and Families Act 2014</w:t>
      </w:r>
      <w:r w:rsidR="00AA13B8" w:rsidRPr="00EB4A49">
        <w:rPr>
          <w:rStyle w:val="FootnoteReference"/>
          <w:rFonts w:asciiTheme="majorHAnsi" w:hAnsiTheme="majorHAnsi" w:cstheme="majorHAnsi"/>
          <w:sz w:val="24"/>
          <w:szCs w:val="24"/>
        </w:rPr>
        <w:footnoteReference w:id="2"/>
      </w:r>
      <w:r w:rsidRPr="00EB4A49">
        <w:rPr>
          <w:rFonts w:asciiTheme="majorHAnsi" w:hAnsiTheme="majorHAnsi" w:cstheme="majorHAnsi"/>
          <w:sz w:val="24"/>
          <w:szCs w:val="24"/>
        </w:rPr>
        <w:t>.</w:t>
      </w:r>
      <w:r w:rsidR="00BD1A36">
        <w:rPr>
          <w:rFonts w:asciiTheme="majorHAnsi" w:hAnsiTheme="majorHAnsi" w:cstheme="majorHAnsi"/>
          <w:sz w:val="24"/>
          <w:szCs w:val="24"/>
        </w:rPr>
        <w:t xml:space="preserve"> </w:t>
      </w:r>
      <w:r w:rsidR="006B0486" w:rsidRPr="00EB4A49">
        <w:rPr>
          <w:rFonts w:asciiTheme="majorHAnsi" w:hAnsiTheme="majorHAnsi" w:cstheme="majorHAnsi"/>
          <w:sz w:val="24"/>
          <w:szCs w:val="24"/>
        </w:rPr>
        <w:t xml:space="preserve">The Inspection in 2019 picks up on strengths and priorities for development within the system.  </w:t>
      </w:r>
    </w:p>
    <w:tbl>
      <w:tblPr>
        <w:tblStyle w:val="TableGrid"/>
        <w:tblW w:w="0" w:type="auto"/>
        <w:tblInd w:w="562" w:type="dxa"/>
        <w:tblLook w:val="04A0" w:firstRow="1" w:lastRow="0" w:firstColumn="1" w:lastColumn="0" w:noHBand="0" w:noVBand="1"/>
      </w:tblPr>
      <w:tblGrid>
        <w:gridCol w:w="7655"/>
      </w:tblGrid>
      <w:tr w:rsidR="00AA13B8" w:rsidRPr="00EB4A49" w14:paraId="1C6BFEFF" w14:textId="77777777" w:rsidTr="00511DA1">
        <w:tc>
          <w:tcPr>
            <w:tcW w:w="7655" w:type="dxa"/>
          </w:tcPr>
          <w:p w14:paraId="537CAA5D" w14:textId="77777777" w:rsidR="00AA13B8" w:rsidRPr="00EB4A49" w:rsidRDefault="00AA13B8">
            <w:pPr>
              <w:rPr>
                <w:rFonts w:asciiTheme="majorHAnsi" w:hAnsiTheme="majorHAnsi" w:cstheme="majorHAnsi"/>
                <w:b/>
                <w:sz w:val="24"/>
                <w:szCs w:val="24"/>
              </w:rPr>
            </w:pPr>
            <w:r w:rsidRPr="00EB4A49">
              <w:rPr>
                <w:rFonts w:asciiTheme="majorHAnsi" w:hAnsiTheme="majorHAnsi" w:cstheme="majorHAnsi"/>
                <w:b/>
                <w:sz w:val="24"/>
                <w:szCs w:val="24"/>
              </w:rPr>
              <w:t>Summary of OFSTED SEND Inspection in York 2019</w:t>
            </w:r>
          </w:p>
          <w:p w14:paraId="70A0A3E6" w14:textId="77777777" w:rsidR="00AA13B8" w:rsidRPr="00EB4A49" w:rsidRDefault="00AA13B8">
            <w:pPr>
              <w:rPr>
                <w:rFonts w:asciiTheme="majorHAnsi" w:hAnsiTheme="majorHAnsi" w:cstheme="majorHAnsi"/>
                <w:b/>
                <w:sz w:val="24"/>
                <w:szCs w:val="24"/>
              </w:rPr>
            </w:pPr>
          </w:p>
          <w:p w14:paraId="5DBCA0E5"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Children and young people’s needs are not identified, assessed and met in a consistently effective way. </w:t>
            </w:r>
          </w:p>
          <w:p w14:paraId="2875523A"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There is clear evaluation of effectiveness, strengths, and improvement priorities. However, co-production was not sufficiently acknowledged as a priority</w:t>
            </w:r>
            <w:r w:rsidR="00584DCF" w:rsidRPr="00EB4A49">
              <w:rPr>
                <w:rFonts w:asciiTheme="majorHAnsi" w:hAnsiTheme="majorHAnsi" w:cstheme="majorHAnsi"/>
                <w:sz w:val="24"/>
                <w:szCs w:val="24"/>
              </w:rPr>
              <w:t>.</w:t>
            </w:r>
          </w:p>
          <w:p w14:paraId="37E0372A"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Services are not commissioned jointly in a way that is responsive to children, young people and families’ needs. </w:t>
            </w:r>
          </w:p>
          <w:p w14:paraId="2FB113A9" w14:textId="77777777" w:rsidR="00AA13B8" w:rsidRPr="00EB4A49" w:rsidRDefault="00511DA1" w:rsidP="00511DA1">
            <w:pPr>
              <w:spacing w:after="120"/>
              <w:rPr>
                <w:rFonts w:asciiTheme="majorHAnsi" w:hAnsiTheme="majorHAnsi" w:cstheme="majorHAnsi"/>
                <w:sz w:val="24"/>
                <w:szCs w:val="24"/>
              </w:rPr>
            </w:pPr>
            <w:r w:rsidRPr="00EB4A49">
              <w:rPr>
                <w:rFonts w:asciiTheme="majorHAnsi" w:hAnsiTheme="majorHAnsi" w:cstheme="majorHAnsi"/>
                <w:sz w:val="24"/>
                <w:szCs w:val="24"/>
              </w:rPr>
              <w:t>‘</w:t>
            </w:r>
            <w:r w:rsidR="00AA13B8" w:rsidRPr="00EB4A49">
              <w:rPr>
                <w:rFonts w:asciiTheme="majorHAnsi" w:hAnsiTheme="majorHAnsi" w:cstheme="majorHAnsi"/>
                <w:sz w:val="24"/>
                <w:szCs w:val="24"/>
              </w:rPr>
              <w:t xml:space="preserve">Tell it once’ is not embedded within health. </w:t>
            </w:r>
          </w:p>
          <w:p w14:paraId="374C0639"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Oversight of health services in the area is poor. There are no agreed specifications for some services and service activity is not monitored routinely. </w:t>
            </w:r>
          </w:p>
          <w:p w14:paraId="7A978BA6"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Partner agencies miss key opportunities to identify, assess and meet the needs of children and young people through integrated working. </w:t>
            </w:r>
          </w:p>
          <w:p w14:paraId="22D5626E"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Co-production is not sufficiently embedded in the area’s approach to improving the outcomes that children and young people with SEND achieve. </w:t>
            </w:r>
          </w:p>
          <w:p w14:paraId="6F2DEB01"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Education, health and care plans are variable in quality. </w:t>
            </w:r>
          </w:p>
          <w:p w14:paraId="4F9D656C"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Families’ experience of education, health and care services working together varies widely and is too dependent on individual professionals and settings.  </w:t>
            </w:r>
          </w:p>
          <w:p w14:paraId="6448B4FA"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The area’s local offer fulfils the requirements outlined in the SEND code of practice. However, many parents are unaware it exists and some have not accessed it.  </w:t>
            </w:r>
          </w:p>
          <w:p w14:paraId="5453C55E"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There have been recent improvements to social, emotional and mental health (SEMH) needs services, however waiting times for some services are too long. </w:t>
            </w:r>
          </w:p>
          <w:p w14:paraId="2CC78C3A"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Leaders have created a culture that promotes innovation and supports the development of services in response to identified issues within the area. </w:t>
            </w:r>
          </w:p>
          <w:p w14:paraId="7E5B682E"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A broad range of educationally-focused projects and growing numbers of supported employment opportunities demonstrate leaders’ aspirations to improve support and services for children and young people in York.</w:t>
            </w:r>
          </w:p>
          <w:p w14:paraId="13B8A81F"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Parents and</w:t>
            </w:r>
            <w:r w:rsidR="00584DCF" w:rsidRPr="00EB4A49">
              <w:rPr>
                <w:rFonts w:asciiTheme="majorHAnsi" w:hAnsiTheme="majorHAnsi" w:cstheme="majorHAnsi"/>
                <w:sz w:val="24"/>
                <w:szCs w:val="24"/>
              </w:rPr>
              <w:t xml:space="preserve"> practitioners are highly complementary</w:t>
            </w:r>
            <w:r w:rsidRPr="00EB4A49">
              <w:rPr>
                <w:rFonts w:asciiTheme="majorHAnsi" w:hAnsiTheme="majorHAnsi" w:cstheme="majorHAnsi"/>
                <w:sz w:val="24"/>
                <w:szCs w:val="24"/>
              </w:rPr>
              <w:t xml:space="preserve"> about the portage service. </w:t>
            </w:r>
          </w:p>
          <w:p w14:paraId="2E166708"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lastRenderedPageBreak/>
              <w:t xml:space="preserve">Children and young people, families and special educational needs coordinators (SENCos) value the expertise and input of the specialist teaching service.  </w:t>
            </w:r>
          </w:p>
          <w:p w14:paraId="2C7B7978"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Academic outcomes for children and young people with SEND are generally above the national average for similar pupils, and improving. Attendance is below average.  </w:t>
            </w:r>
          </w:p>
          <w:p w14:paraId="17EFC916"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York independent living and travel skills training is very well established. </w:t>
            </w:r>
          </w:p>
          <w:p w14:paraId="65021852" w14:textId="77777777" w:rsidR="00AA13B8" w:rsidRPr="00EB4A49" w:rsidRDefault="00AA13B8" w:rsidP="00511DA1">
            <w:pPr>
              <w:spacing w:after="120"/>
              <w:rPr>
                <w:rFonts w:asciiTheme="majorHAnsi" w:hAnsiTheme="majorHAnsi" w:cstheme="majorHAnsi"/>
                <w:sz w:val="24"/>
                <w:szCs w:val="24"/>
              </w:rPr>
            </w:pPr>
            <w:r w:rsidRPr="00EB4A49">
              <w:rPr>
                <w:rFonts w:asciiTheme="majorHAnsi" w:hAnsiTheme="majorHAnsi" w:cstheme="majorHAnsi"/>
                <w:sz w:val="24"/>
                <w:szCs w:val="24"/>
              </w:rPr>
              <w:t xml:space="preserve">The area’s plans for improving preparation for adulthood outcomes are recent and, as a result, are not understood widely. </w:t>
            </w:r>
          </w:p>
        </w:tc>
      </w:tr>
    </w:tbl>
    <w:p w14:paraId="7622441E" w14:textId="77777777" w:rsidR="00C97B9F" w:rsidRDefault="00C97B9F">
      <w:pPr>
        <w:rPr>
          <w:rFonts w:asciiTheme="majorHAnsi" w:hAnsiTheme="majorHAnsi" w:cstheme="majorHAnsi"/>
          <w:b/>
          <w:sz w:val="24"/>
          <w:szCs w:val="24"/>
        </w:rPr>
      </w:pPr>
    </w:p>
    <w:p w14:paraId="1B9C17AE" w14:textId="77777777" w:rsidR="00EB4A49" w:rsidRPr="00EB4A49" w:rsidRDefault="00EB4A49">
      <w:pPr>
        <w:rPr>
          <w:rFonts w:asciiTheme="majorHAnsi" w:hAnsiTheme="majorHAnsi" w:cstheme="majorHAnsi"/>
          <w:b/>
          <w:sz w:val="24"/>
          <w:szCs w:val="24"/>
        </w:rPr>
      </w:pPr>
    </w:p>
    <w:p w14:paraId="4E452D86" w14:textId="77777777" w:rsidR="00DF0B42" w:rsidRPr="00EB4A49" w:rsidRDefault="009D20B5" w:rsidP="00EB4A49">
      <w:pPr>
        <w:pStyle w:val="Heading2"/>
        <w:rPr>
          <w:rFonts w:cstheme="majorHAnsi"/>
          <w:sz w:val="24"/>
          <w:szCs w:val="24"/>
        </w:rPr>
      </w:pPr>
      <w:bookmarkStart w:id="5" w:name="_Toc58575065"/>
      <w:r>
        <w:rPr>
          <w:rFonts w:cstheme="majorHAnsi"/>
          <w:sz w:val="24"/>
          <w:szCs w:val="24"/>
        </w:rPr>
        <w:t>Overview of children</w:t>
      </w:r>
      <w:r w:rsidR="00BD24B4" w:rsidRPr="00EB4A49">
        <w:rPr>
          <w:rFonts w:cstheme="majorHAnsi"/>
          <w:sz w:val="24"/>
          <w:szCs w:val="24"/>
        </w:rPr>
        <w:t xml:space="preserve"> and young people in York</w:t>
      </w:r>
      <w:bookmarkEnd w:id="5"/>
      <w:r w:rsidR="00BD24B4" w:rsidRPr="00EB4A49">
        <w:rPr>
          <w:rFonts w:cstheme="majorHAnsi"/>
          <w:sz w:val="24"/>
          <w:szCs w:val="24"/>
        </w:rPr>
        <w:t xml:space="preserve"> </w:t>
      </w:r>
    </w:p>
    <w:p w14:paraId="4EF05A2D" w14:textId="77777777" w:rsidR="001E30CA" w:rsidRPr="00EB4A49" w:rsidRDefault="001E30CA">
      <w:pPr>
        <w:rPr>
          <w:rFonts w:asciiTheme="majorHAnsi" w:hAnsiTheme="majorHAnsi" w:cstheme="majorHAnsi"/>
          <w:b/>
          <w:sz w:val="24"/>
          <w:szCs w:val="24"/>
        </w:rPr>
      </w:pPr>
      <w:r w:rsidRPr="00EB4A49">
        <w:rPr>
          <w:rFonts w:asciiTheme="majorHAnsi" w:hAnsiTheme="majorHAnsi" w:cstheme="majorHAnsi"/>
          <w:b/>
          <w:sz w:val="24"/>
          <w:szCs w:val="24"/>
        </w:rPr>
        <w:t>Population size</w:t>
      </w:r>
    </w:p>
    <w:p w14:paraId="75C04AC8" w14:textId="77777777" w:rsidR="001E30CA"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York</w:t>
      </w:r>
      <w:r w:rsidR="00AA13B8" w:rsidRPr="00EB4A49">
        <w:rPr>
          <w:rFonts w:asciiTheme="majorHAnsi" w:hAnsiTheme="majorHAnsi" w:cstheme="majorHAnsi"/>
          <w:sz w:val="24"/>
          <w:szCs w:val="24"/>
        </w:rPr>
        <w:t xml:space="preserve"> has an older population and fewer children than other parts of the country. </w:t>
      </w:r>
      <w:r w:rsidRPr="00EB4A49">
        <w:rPr>
          <w:rFonts w:asciiTheme="majorHAnsi" w:hAnsiTheme="majorHAnsi" w:cstheme="majorHAnsi"/>
          <w:sz w:val="24"/>
          <w:szCs w:val="24"/>
        </w:rPr>
        <w:t xml:space="preserve"> </w:t>
      </w:r>
      <w:r w:rsidR="00EB4A49" w:rsidRPr="00EB4A49">
        <w:rPr>
          <w:rFonts w:asciiTheme="majorHAnsi" w:hAnsiTheme="majorHAnsi" w:cstheme="majorHAnsi"/>
          <w:sz w:val="24"/>
          <w:szCs w:val="24"/>
        </w:rPr>
        <w:t xml:space="preserve">There are approximately 73,900 people under the age of 25 living in York. This includes c. 20,000 university students, mostly aged 18-22, who have </w:t>
      </w:r>
      <w:r w:rsidR="00EB4A49">
        <w:rPr>
          <w:rFonts w:asciiTheme="majorHAnsi" w:hAnsiTheme="majorHAnsi" w:cstheme="majorHAnsi"/>
          <w:sz w:val="24"/>
          <w:szCs w:val="24"/>
        </w:rPr>
        <w:t xml:space="preserve">moved to York to study. </w:t>
      </w:r>
    </w:p>
    <w:tbl>
      <w:tblPr>
        <w:tblStyle w:val="TableGrid"/>
        <w:tblW w:w="0" w:type="auto"/>
        <w:tblLook w:val="04A0" w:firstRow="1" w:lastRow="0" w:firstColumn="1" w:lastColumn="0" w:noHBand="0" w:noVBand="1"/>
      </w:tblPr>
      <w:tblGrid>
        <w:gridCol w:w="1803"/>
        <w:gridCol w:w="1803"/>
        <w:gridCol w:w="1803"/>
        <w:gridCol w:w="1803"/>
        <w:gridCol w:w="1804"/>
      </w:tblGrid>
      <w:tr w:rsidR="00BE5D36" w:rsidRPr="00EB4A49" w14:paraId="0A4BB101" w14:textId="77777777" w:rsidTr="00BE5D36">
        <w:tc>
          <w:tcPr>
            <w:tcW w:w="1803" w:type="dxa"/>
          </w:tcPr>
          <w:p w14:paraId="6D01E413"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0-4 years</w:t>
            </w:r>
          </w:p>
        </w:tc>
        <w:tc>
          <w:tcPr>
            <w:tcW w:w="1803" w:type="dxa"/>
          </w:tcPr>
          <w:p w14:paraId="7C978BD5"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5-10 years</w:t>
            </w:r>
          </w:p>
        </w:tc>
        <w:tc>
          <w:tcPr>
            <w:tcW w:w="1803" w:type="dxa"/>
          </w:tcPr>
          <w:p w14:paraId="5CDC6FFA"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11-16 years</w:t>
            </w:r>
          </w:p>
        </w:tc>
        <w:tc>
          <w:tcPr>
            <w:tcW w:w="1803" w:type="dxa"/>
          </w:tcPr>
          <w:p w14:paraId="0FC09E91"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17-19 years</w:t>
            </w:r>
          </w:p>
        </w:tc>
        <w:tc>
          <w:tcPr>
            <w:tcW w:w="1804" w:type="dxa"/>
          </w:tcPr>
          <w:p w14:paraId="6B8FE4DC"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 xml:space="preserve">20-25 years </w:t>
            </w:r>
          </w:p>
        </w:tc>
      </w:tr>
      <w:tr w:rsidR="00BE5D36" w:rsidRPr="00EB4A49" w14:paraId="0CC2825E" w14:textId="77777777" w:rsidTr="00BE5D36">
        <w:tc>
          <w:tcPr>
            <w:tcW w:w="1803" w:type="dxa"/>
          </w:tcPr>
          <w:p w14:paraId="14D22831"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9,800</w:t>
            </w:r>
          </w:p>
        </w:tc>
        <w:tc>
          <w:tcPr>
            <w:tcW w:w="1803" w:type="dxa"/>
          </w:tcPr>
          <w:p w14:paraId="5D5C9573"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12,950</w:t>
            </w:r>
          </w:p>
        </w:tc>
        <w:tc>
          <w:tcPr>
            <w:tcW w:w="1803" w:type="dxa"/>
          </w:tcPr>
          <w:p w14:paraId="43DE38B7"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11,850</w:t>
            </w:r>
          </w:p>
        </w:tc>
        <w:tc>
          <w:tcPr>
            <w:tcW w:w="1803" w:type="dxa"/>
          </w:tcPr>
          <w:p w14:paraId="3F329973"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12,550</w:t>
            </w:r>
          </w:p>
        </w:tc>
        <w:tc>
          <w:tcPr>
            <w:tcW w:w="1804" w:type="dxa"/>
          </w:tcPr>
          <w:p w14:paraId="1335A9DF" w14:textId="77777777" w:rsidR="00BE5D36" w:rsidRPr="00EB4A49" w:rsidRDefault="00BE5D36">
            <w:pPr>
              <w:rPr>
                <w:rFonts w:asciiTheme="majorHAnsi" w:hAnsiTheme="majorHAnsi" w:cstheme="majorHAnsi"/>
                <w:sz w:val="24"/>
                <w:szCs w:val="24"/>
              </w:rPr>
            </w:pPr>
            <w:r w:rsidRPr="00EB4A49">
              <w:rPr>
                <w:rFonts w:asciiTheme="majorHAnsi" w:hAnsiTheme="majorHAnsi" w:cstheme="majorHAnsi"/>
                <w:sz w:val="24"/>
                <w:szCs w:val="24"/>
              </w:rPr>
              <w:t>26,750</w:t>
            </w:r>
          </w:p>
        </w:tc>
      </w:tr>
    </w:tbl>
    <w:p w14:paraId="3235ACF2" w14:textId="26A73A18" w:rsidR="00900A26" w:rsidRDefault="00900A26">
      <w:pPr>
        <w:rPr>
          <w:rFonts w:asciiTheme="majorHAnsi" w:hAnsiTheme="majorHAnsi" w:cstheme="majorHAnsi"/>
          <w:b/>
          <w:sz w:val="24"/>
          <w:szCs w:val="24"/>
        </w:rPr>
      </w:pPr>
    </w:p>
    <w:p w14:paraId="0AC3DEA9" w14:textId="77777777" w:rsidR="00FE288A" w:rsidRPr="00EB4A49" w:rsidRDefault="00FE288A">
      <w:pPr>
        <w:rPr>
          <w:rFonts w:asciiTheme="majorHAnsi" w:hAnsiTheme="majorHAnsi" w:cstheme="majorHAnsi"/>
          <w:b/>
          <w:sz w:val="24"/>
          <w:szCs w:val="24"/>
        </w:rPr>
      </w:pPr>
      <w:r w:rsidRPr="00EB4A49">
        <w:rPr>
          <w:rFonts w:asciiTheme="majorHAnsi" w:hAnsiTheme="majorHAnsi" w:cstheme="majorHAnsi"/>
          <w:b/>
          <w:sz w:val="24"/>
          <w:szCs w:val="24"/>
        </w:rPr>
        <w:t xml:space="preserve">Birth </w:t>
      </w:r>
    </w:p>
    <w:p w14:paraId="1741C201" w14:textId="77777777" w:rsidR="00FE288A" w:rsidRPr="00EB4A49" w:rsidRDefault="00BD24B4" w:rsidP="00FE288A">
      <w:pPr>
        <w:rPr>
          <w:rFonts w:asciiTheme="majorHAnsi" w:hAnsiTheme="majorHAnsi" w:cstheme="majorHAnsi"/>
          <w:sz w:val="24"/>
          <w:szCs w:val="24"/>
        </w:rPr>
      </w:pPr>
      <w:r w:rsidRPr="00EB4A49">
        <w:rPr>
          <w:rFonts w:asciiTheme="majorHAnsi" w:hAnsiTheme="majorHAnsi" w:cstheme="majorHAnsi"/>
          <w:sz w:val="24"/>
          <w:szCs w:val="24"/>
        </w:rPr>
        <w:t xml:space="preserve">York has </w:t>
      </w:r>
      <w:r w:rsidR="00FE288A" w:rsidRPr="00EB4A49">
        <w:rPr>
          <w:rFonts w:asciiTheme="majorHAnsi" w:hAnsiTheme="majorHAnsi" w:cstheme="majorHAnsi"/>
          <w:sz w:val="24"/>
          <w:szCs w:val="24"/>
        </w:rPr>
        <w:t>the second lowest birth rate in the country</w:t>
      </w:r>
      <w:r w:rsidR="00FE288A" w:rsidRPr="00EB4A49">
        <w:rPr>
          <w:rStyle w:val="FootnoteReference"/>
          <w:rFonts w:asciiTheme="majorHAnsi" w:hAnsiTheme="majorHAnsi" w:cstheme="majorHAnsi"/>
          <w:sz w:val="24"/>
          <w:szCs w:val="24"/>
        </w:rPr>
        <w:footnoteReference w:id="3"/>
      </w:r>
      <w:r w:rsidR="00584DCF" w:rsidRPr="00EB4A49">
        <w:rPr>
          <w:rFonts w:asciiTheme="majorHAnsi" w:hAnsiTheme="majorHAnsi" w:cstheme="majorHAnsi"/>
          <w:sz w:val="24"/>
          <w:szCs w:val="24"/>
        </w:rPr>
        <w:t>,</w:t>
      </w:r>
      <w:r w:rsidR="00FE288A" w:rsidRPr="00EB4A49">
        <w:rPr>
          <w:rFonts w:asciiTheme="majorHAnsi" w:hAnsiTheme="majorHAnsi" w:cstheme="majorHAnsi"/>
          <w:sz w:val="24"/>
          <w:szCs w:val="24"/>
        </w:rPr>
        <w:t xml:space="preserve"> and it continues to fall. Around </w:t>
      </w:r>
      <w:r w:rsidRPr="00EB4A49">
        <w:rPr>
          <w:rFonts w:asciiTheme="majorHAnsi" w:hAnsiTheme="majorHAnsi" w:cstheme="majorHAnsi"/>
          <w:sz w:val="24"/>
          <w:szCs w:val="24"/>
        </w:rPr>
        <w:t xml:space="preserve">1,800 children </w:t>
      </w:r>
      <w:r w:rsidR="00FE288A" w:rsidRPr="00EB4A49">
        <w:rPr>
          <w:rFonts w:asciiTheme="majorHAnsi" w:hAnsiTheme="majorHAnsi" w:cstheme="majorHAnsi"/>
          <w:sz w:val="24"/>
          <w:szCs w:val="24"/>
        </w:rPr>
        <w:t xml:space="preserve">are </w:t>
      </w:r>
      <w:r w:rsidRPr="00EB4A49">
        <w:rPr>
          <w:rFonts w:asciiTheme="majorHAnsi" w:hAnsiTheme="majorHAnsi" w:cstheme="majorHAnsi"/>
          <w:sz w:val="24"/>
          <w:szCs w:val="24"/>
        </w:rPr>
        <w:t>born each year</w:t>
      </w:r>
      <w:r w:rsidR="00FE288A" w:rsidRPr="00EB4A49">
        <w:rPr>
          <w:rFonts w:asciiTheme="majorHAnsi" w:hAnsiTheme="majorHAnsi" w:cstheme="majorHAnsi"/>
          <w:sz w:val="24"/>
          <w:szCs w:val="24"/>
        </w:rPr>
        <w:t xml:space="preserve"> in York</w:t>
      </w:r>
      <w:r w:rsidRPr="00EB4A49">
        <w:rPr>
          <w:rFonts w:asciiTheme="majorHAnsi" w:hAnsiTheme="majorHAnsi" w:cstheme="majorHAnsi"/>
          <w:sz w:val="24"/>
          <w:szCs w:val="24"/>
        </w:rPr>
        <w:t xml:space="preserve">. </w:t>
      </w:r>
      <w:r w:rsidR="00FE288A" w:rsidRPr="00EB4A49">
        <w:rPr>
          <w:rFonts w:asciiTheme="majorHAnsi" w:hAnsiTheme="majorHAnsi" w:cstheme="majorHAnsi"/>
          <w:sz w:val="24"/>
          <w:szCs w:val="24"/>
        </w:rPr>
        <w:t>16%</w:t>
      </w:r>
      <w:r w:rsidR="00FE288A" w:rsidRPr="00EB4A49">
        <w:rPr>
          <w:rStyle w:val="FootnoteReference"/>
          <w:rFonts w:asciiTheme="majorHAnsi" w:hAnsiTheme="majorHAnsi" w:cstheme="majorHAnsi"/>
          <w:sz w:val="24"/>
          <w:szCs w:val="24"/>
        </w:rPr>
        <w:footnoteReference w:id="4"/>
      </w:r>
      <w:r w:rsidR="00FE288A" w:rsidRPr="00EB4A49">
        <w:rPr>
          <w:rFonts w:asciiTheme="majorHAnsi" w:hAnsiTheme="majorHAnsi" w:cstheme="majorHAnsi"/>
          <w:sz w:val="24"/>
          <w:szCs w:val="24"/>
        </w:rPr>
        <w:t xml:space="preserve"> of York’s chil</w:t>
      </w:r>
      <w:r w:rsidR="00584DCF" w:rsidRPr="00EB4A49">
        <w:rPr>
          <w:rFonts w:asciiTheme="majorHAnsi" w:hAnsiTheme="majorHAnsi" w:cstheme="majorHAnsi"/>
          <w:sz w:val="24"/>
          <w:szCs w:val="24"/>
        </w:rPr>
        <w:t>dren are born to non-UK parents;</w:t>
      </w:r>
      <w:r w:rsidR="00FE288A" w:rsidRPr="00EB4A49">
        <w:rPr>
          <w:rFonts w:asciiTheme="majorHAnsi" w:hAnsiTheme="majorHAnsi" w:cstheme="majorHAnsi"/>
          <w:sz w:val="24"/>
          <w:szCs w:val="24"/>
        </w:rPr>
        <w:t xml:space="preserve"> hi</w:t>
      </w:r>
      <w:r w:rsidR="00AA13B8" w:rsidRPr="00EB4A49">
        <w:rPr>
          <w:rFonts w:asciiTheme="majorHAnsi" w:hAnsiTheme="majorHAnsi" w:cstheme="majorHAnsi"/>
          <w:sz w:val="24"/>
          <w:szCs w:val="24"/>
        </w:rPr>
        <w:t>gher than the Yorkshire average, but lower than the national average.</w:t>
      </w:r>
      <w:r w:rsidR="00FE288A" w:rsidRPr="00EB4A49">
        <w:rPr>
          <w:rFonts w:asciiTheme="majorHAnsi" w:hAnsiTheme="majorHAnsi" w:cstheme="majorHAnsi"/>
          <w:sz w:val="24"/>
          <w:szCs w:val="24"/>
        </w:rPr>
        <w:t xml:space="preserve"> The proportion of children born to older mothers (over 40) and children born to younger mothers (under 18) are both in line with the national average</w:t>
      </w:r>
      <w:r w:rsidR="00FE288A" w:rsidRPr="00EB4A49">
        <w:rPr>
          <w:rStyle w:val="FootnoteReference"/>
          <w:rFonts w:asciiTheme="majorHAnsi" w:hAnsiTheme="majorHAnsi" w:cstheme="majorHAnsi"/>
          <w:sz w:val="24"/>
          <w:szCs w:val="24"/>
        </w:rPr>
        <w:footnoteReference w:id="5"/>
      </w:r>
      <w:r w:rsidR="00FE288A" w:rsidRPr="00EB4A49">
        <w:rPr>
          <w:rFonts w:asciiTheme="majorHAnsi" w:hAnsiTheme="majorHAnsi" w:cstheme="majorHAnsi"/>
          <w:sz w:val="24"/>
          <w:szCs w:val="24"/>
        </w:rPr>
        <w:t>,</w:t>
      </w:r>
      <w:r w:rsidR="00FE288A" w:rsidRPr="00EB4A49">
        <w:rPr>
          <w:rStyle w:val="FootnoteReference"/>
          <w:rFonts w:asciiTheme="majorHAnsi" w:hAnsiTheme="majorHAnsi" w:cstheme="majorHAnsi"/>
          <w:sz w:val="24"/>
          <w:szCs w:val="24"/>
        </w:rPr>
        <w:footnoteReference w:id="6"/>
      </w:r>
      <w:r w:rsidR="00FE288A" w:rsidRPr="00EB4A49">
        <w:rPr>
          <w:rFonts w:asciiTheme="majorHAnsi" w:hAnsiTheme="majorHAnsi" w:cstheme="majorHAnsi"/>
          <w:sz w:val="24"/>
          <w:szCs w:val="24"/>
        </w:rPr>
        <w:t>,</w:t>
      </w:r>
      <w:r w:rsidR="00FE288A" w:rsidRPr="00EB4A49">
        <w:rPr>
          <w:rStyle w:val="FootnoteReference"/>
          <w:rFonts w:asciiTheme="majorHAnsi" w:hAnsiTheme="majorHAnsi" w:cstheme="majorHAnsi"/>
          <w:sz w:val="24"/>
          <w:szCs w:val="24"/>
        </w:rPr>
        <w:footnoteReference w:id="7"/>
      </w:r>
      <w:r w:rsidR="00FE288A" w:rsidRPr="00EB4A49">
        <w:rPr>
          <w:rFonts w:asciiTheme="majorHAnsi" w:hAnsiTheme="majorHAnsi" w:cstheme="majorHAnsi"/>
          <w:sz w:val="24"/>
          <w:szCs w:val="24"/>
        </w:rPr>
        <w:t>. 12% of women smoke at the time of delivery</w:t>
      </w:r>
      <w:r w:rsidR="00584DCF" w:rsidRPr="00EB4A49">
        <w:rPr>
          <w:rFonts w:asciiTheme="majorHAnsi" w:hAnsiTheme="majorHAnsi" w:cstheme="majorHAnsi"/>
          <w:sz w:val="24"/>
          <w:szCs w:val="24"/>
        </w:rPr>
        <w:t>;</w:t>
      </w:r>
      <w:r w:rsidR="00FE288A" w:rsidRPr="00EB4A49">
        <w:rPr>
          <w:rFonts w:asciiTheme="majorHAnsi" w:hAnsiTheme="majorHAnsi" w:cstheme="majorHAnsi"/>
          <w:sz w:val="24"/>
          <w:szCs w:val="24"/>
        </w:rPr>
        <w:t xml:space="preserve"> this is in line with the national average, and both are falling gradually</w:t>
      </w:r>
      <w:r w:rsidR="00FE288A" w:rsidRPr="00EB4A49">
        <w:rPr>
          <w:rStyle w:val="FootnoteReference"/>
          <w:rFonts w:asciiTheme="majorHAnsi" w:hAnsiTheme="majorHAnsi" w:cstheme="majorHAnsi"/>
          <w:sz w:val="24"/>
          <w:szCs w:val="24"/>
        </w:rPr>
        <w:footnoteReference w:id="8"/>
      </w:r>
      <w:r w:rsidR="00FE288A" w:rsidRPr="00EB4A49">
        <w:rPr>
          <w:rFonts w:asciiTheme="majorHAnsi" w:hAnsiTheme="majorHAnsi" w:cstheme="majorHAnsi"/>
          <w:sz w:val="24"/>
          <w:szCs w:val="24"/>
        </w:rPr>
        <w:t>. Smoking during pregnancy still presents a large risk to mothers and infants. Smoking is still the leading cause of early death. Figures for low birth weight are in line with the national average</w:t>
      </w:r>
      <w:r w:rsidR="00FE288A" w:rsidRPr="00EB4A49">
        <w:rPr>
          <w:rStyle w:val="FootnoteReference"/>
          <w:rFonts w:asciiTheme="majorHAnsi" w:hAnsiTheme="majorHAnsi" w:cstheme="majorHAnsi"/>
          <w:sz w:val="24"/>
          <w:szCs w:val="24"/>
        </w:rPr>
        <w:footnoteReference w:id="9"/>
      </w:r>
      <w:r w:rsidR="00584DCF" w:rsidRPr="00EB4A49">
        <w:rPr>
          <w:rFonts w:asciiTheme="majorHAnsi" w:hAnsiTheme="majorHAnsi" w:cstheme="majorHAnsi"/>
          <w:sz w:val="24"/>
          <w:szCs w:val="24"/>
        </w:rPr>
        <w:t>,</w:t>
      </w:r>
      <w:r w:rsidR="00FE288A" w:rsidRPr="00EB4A49">
        <w:rPr>
          <w:rFonts w:asciiTheme="majorHAnsi" w:hAnsiTheme="majorHAnsi" w:cstheme="majorHAnsi"/>
          <w:sz w:val="24"/>
          <w:szCs w:val="24"/>
        </w:rPr>
        <w:t xml:space="preserve"> and the trend is stable. Low birth weight is a major factor in infant mortality and has consequences for health across life. Low birth weight is linked to premature birth, the mother’s health, smoking or drinking alcohol during pregnancy, and illness during pregnancy. </w:t>
      </w:r>
    </w:p>
    <w:p w14:paraId="50BC5437" w14:textId="77777777" w:rsidR="00FE288A" w:rsidRPr="00EB4A49" w:rsidRDefault="00FE288A" w:rsidP="00FE288A">
      <w:pPr>
        <w:rPr>
          <w:rFonts w:asciiTheme="majorHAnsi" w:hAnsiTheme="majorHAnsi" w:cstheme="majorHAnsi"/>
          <w:b/>
          <w:sz w:val="24"/>
          <w:szCs w:val="24"/>
        </w:rPr>
      </w:pPr>
      <w:r w:rsidRPr="00EB4A49">
        <w:rPr>
          <w:rFonts w:asciiTheme="majorHAnsi" w:hAnsiTheme="majorHAnsi" w:cstheme="majorHAnsi"/>
          <w:b/>
          <w:sz w:val="24"/>
          <w:szCs w:val="24"/>
        </w:rPr>
        <w:lastRenderedPageBreak/>
        <w:t xml:space="preserve">Breastfeeding </w:t>
      </w:r>
    </w:p>
    <w:p w14:paraId="63F79021" w14:textId="77777777" w:rsidR="00FE288A" w:rsidRPr="00EB4A49" w:rsidRDefault="00FE288A" w:rsidP="00FE288A">
      <w:pPr>
        <w:rPr>
          <w:rFonts w:asciiTheme="majorHAnsi" w:hAnsiTheme="majorHAnsi" w:cstheme="majorHAnsi"/>
          <w:sz w:val="24"/>
          <w:szCs w:val="24"/>
        </w:rPr>
      </w:pPr>
      <w:r w:rsidRPr="00EB4A49">
        <w:rPr>
          <w:rFonts w:asciiTheme="majorHAnsi" w:hAnsiTheme="majorHAnsi" w:cstheme="majorHAnsi"/>
          <w:sz w:val="24"/>
          <w:szCs w:val="24"/>
        </w:rPr>
        <w:t>Breastfeeding is encouraged by WHO, PHE and NHS, b</w:t>
      </w:r>
      <w:r w:rsidR="00584DCF" w:rsidRPr="00EB4A49">
        <w:rPr>
          <w:rFonts w:asciiTheme="majorHAnsi" w:hAnsiTheme="majorHAnsi" w:cstheme="majorHAnsi"/>
          <w:sz w:val="24"/>
          <w:szCs w:val="24"/>
        </w:rPr>
        <w:t>ecause babies that are breastfe</w:t>
      </w:r>
      <w:r w:rsidRPr="00EB4A49">
        <w:rPr>
          <w:rFonts w:asciiTheme="majorHAnsi" w:hAnsiTheme="majorHAnsi" w:cstheme="majorHAnsi"/>
          <w:sz w:val="24"/>
          <w:szCs w:val="24"/>
        </w:rPr>
        <w:t>d have fewer digestive problems and fewer respiratory illnesses</w:t>
      </w:r>
      <w:r w:rsidRPr="00EB4A49">
        <w:rPr>
          <w:rStyle w:val="FootnoteReference"/>
          <w:rFonts w:asciiTheme="majorHAnsi" w:hAnsiTheme="majorHAnsi" w:cstheme="majorHAnsi"/>
          <w:sz w:val="24"/>
          <w:szCs w:val="24"/>
        </w:rPr>
        <w:footnoteReference w:id="10"/>
      </w:r>
      <w:r w:rsidRPr="00EB4A49">
        <w:rPr>
          <w:rFonts w:asciiTheme="majorHAnsi" w:hAnsiTheme="majorHAnsi" w:cstheme="majorHAnsi"/>
          <w:sz w:val="24"/>
          <w:szCs w:val="24"/>
        </w:rPr>
        <w:t xml:space="preserve">. It is also associated with lower levels of childhood obesity and fewer cancers in women who breastfeed. National and international guidance recommends exclusive breastfeeding for the first six months. Three quarters of </w:t>
      </w:r>
      <w:r w:rsidR="00347235" w:rsidRPr="00EB4A49">
        <w:rPr>
          <w:rFonts w:asciiTheme="majorHAnsi" w:hAnsiTheme="majorHAnsi" w:cstheme="majorHAnsi"/>
          <w:sz w:val="24"/>
          <w:szCs w:val="24"/>
        </w:rPr>
        <w:t xml:space="preserve">York </w:t>
      </w:r>
      <w:r w:rsidRPr="00EB4A49">
        <w:rPr>
          <w:rFonts w:asciiTheme="majorHAnsi" w:hAnsiTheme="majorHAnsi" w:cstheme="majorHAnsi"/>
          <w:sz w:val="24"/>
          <w:szCs w:val="24"/>
        </w:rPr>
        <w:t>mothers begin by breastfeeding their children</w:t>
      </w:r>
      <w:r w:rsidRPr="00EB4A49">
        <w:rPr>
          <w:rStyle w:val="FootnoteReference"/>
          <w:rFonts w:asciiTheme="majorHAnsi" w:hAnsiTheme="majorHAnsi" w:cstheme="majorHAnsi"/>
          <w:sz w:val="24"/>
          <w:szCs w:val="24"/>
        </w:rPr>
        <w:footnoteReference w:id="11"/>
      </w:r>
      <w:r w:rsidR="00347235" w:rsidRPr="00EB4A49">
        <w:rPr>
          <w:rFonts w:asciiTheme="majorHAnsi" w:hAnsiTheme="majorHAnsi" w:cstheme="majorHAnsi"/>
          <w:sz w:val="24"/>
          <w:szCs w:val="24"/>
        </w:rPr>
        <w:t xml:space="preserve">. </w:t>
      </w:r>
      <w:r w:rsidR="00A36F4C" w:rsidRPr="00EB4A49">
        <w:rPr>
          <w:rFonts w:asciiTheme="majorHAnsi" w:hAnsiTheme="majorHAnsi" w:cstheme="majorHAnsi"/>
          <w:sz w:val="24"/>
          <w:szCs w:val="24"/>
        </w:rPr>
        <w:t xml:space="preserve"> </w:t>
      </w:r>
      <w:r w:rsidRPr="00EB4A49">
        <w:rPr>
          <w:rFonts w:asciiTheme="majorHAnsi" w:hAnsiTheme="majorHAnsi" w:cstheme="majorHAnsi"/>
          <w:sz w:val="24"/>
          <w:szCs w:val="24"/>
        </w:rPr>
        <w:t>The</w:t>
      </w:r>
      <w:r w:rsidR="00584DCF" w:rsidRPr="00EB4A49">
        <w:rPr>
          <w:rFonts w:asciiTheme="majorHAnsi" w:hAnsiTheme="majorHAnsi" w:cstheme="majorHAnsi"/>
          <w:sz w:val="24"/>
          <w:szCs w:val="24"/>
        </w:rPr>
        <w:t>re are data quality issues that</w:t>
      </w:r>
      <w:r w:rsidRPr="00EB4A49">
        <w:rPr>
          <w:rFonts w:asciiTheme="majorHAnsi" w:hAnsiTheme="majorHAnsi" w:cstheme="majorHAnsi"/>
          <w:sz w:val="24"/>
          <w:szCs w:val="24"/>
        </w:rPr>
        <w:t xml:space="preserve"> mean we cannot currently report on breastfeeding rates the next time it is measure</w:t>
      </w:r>
      <w:r w:rsidR="00A36F4C" w:rsidRPr="00EB4A49">
        <w:rPr>
          <w:rFonts w:asciiTheme="majorHAnsi" w:hAnsiTheme="majorHAnsi" w:cstheme="majorHAnsi"/>
          <w:sz w:val="24"/>
          <w:szCs w:val="24"/>
        </w:rPr>
        <w:t>d</w:t>
      </w:r>
      <w:r w:rsidRPr="00EB4A49">
        <w:rPr>
          <w:rFonts w:asciiTheme="majorHAnsi" w:hAnsiTheme="majorHAnsi" w:cstheme="majorHAnsi"/>
          <w:sz w:val="24"/>
          <w:szCs w:val="24"/>
        </w:rPr>
        <w:t xml:space="preserve"> (at 2 months after birth)</w:t>
      </w:r>
      <w:r w:rsidRPr="00EB4A49">
        <w:rPr>
          <w:rStyle w:val="FootnoteReference"/>
          <w:rFonts w:asciiTheme="majorHAnsi" w:hAnsiTheme="majorHAnsi" w:cstheme="majorHAnsi"/>
          <w:sz w:val="24"/>
          <w:szCs w:val="24"/>
        </w:rPr>
        <w:footnoteReference w:id="12"/>
      </w:r>
      <w:r w:rsidRPr="00EB4A49">
        <w:rPr>
          <w:rFonts w:asciiTheme="majorHAnsi" w:hAnsiTheme="majorHAnsi" w:cstheme="majorHAnsi"/>
          <w:sz w:val="24"/>
          <w:szCs w:val="24"/>
        </w:rPr>
        <w:t>. However the data availabl</w:t>
      </w:r>
      <w:r w:rsidR="00347235" w:rsidRPr="00EB4A49">
        <w:rPr>
          <w:rFonts w:asciiTheme="majorHAnsi" w:hAnsiTheme="majorHAnsi" w:cstheme="majorHAnsi"/>
          <w:sz w:val="24"/>
          <w:szCs w:val="24"/>
        </w:rPr>
        <w:t>e suggests a sizeable drop off compared to the at-</w:t>
      </w:r>
      <w:r w:rsidRPr="00EB4A49">
        <w:rPr>
          <w:rFonts w:asciiTheme="majorHAnsi" w:hAnsiTheme="majorHAnsi" w:cstheme="majorHAnsi"/>
          <w:sz w:val="24"/>
          <w:szCs w:val="24"/>
        </w:rPr>
        <w:t xml:space="preserve">birth figures. Nationally 46% of women are still breastfeeding at two </w:t>
      </w:r>
      <w:r w:rsidR="00584DCF" w:rsidRPr="00EB4A49">
        <w:rPr>
          <w:rFonts w:asciiTheme="majorHAnsi" w:hAnsiTheme="majorHAnsi" w:cstheme="majorHAnsi"/>
          <w:sz w:val="24"/>
          <w:szCs w:val="24"/>
        </w:rPr>
        <w:t>months. The Healthy Child S</w:t>
      </w:r>
      <w:r w:rsidR="00347235" w:rsidRPr="00EB4A49">
        <w:rPr>
          <w:rFonts w:asciiTheme="majorHAnsi" w:hAnsiTheme="majorHAnsi" w:cstheme="majorHAnsi"/>
          <w:sz w:val="24"/>
          <w:szCs w:val="24"/>
        </w:rPr>
        <w:t>ervice is resolving</w:t>
      </w:r>
      <w:r w:rsidRPr="00EB4A49">
        <w:rPr>
          <w:rFonts w:asciiTheme="majorHAnsi" w:hAnsiTheme="majorHAnsi" w:cstheme="majorHAnsi"/>
          <w:sz w:val="24"/>
          <w:szCs w:val="24"/>
        </w:rPr>
        <w:t xml:space="preserve"> these data reporting issues. </w:t>
      </w:r>
    </w:p>
    <w:p w14:paraId="2B612D23" w14:textId="77777777" w:rsidR="00FE288A" w:rsidRPr="00EB4A49" w:rsidRDefault="00FE288A" w:rsidP="00FE288A">
      <w:pPr>
        <w:rPr>
          <w:rFonts w:asciiTheme="majorHAnsi" w:hAnsiTheme="majorHAnsi" w:cstheme="majorHAnsi"/>
          <w:b/>
          <w:sz w:val="24"/>
          <w:szCs w:val="24"/>
        </w:rPr>
      </w:pPr>
      <w:r w:rsidRPr="00EB4A49">
        <w:rPr>
          <w:rFonts w:asciiTheme="majorHAnsi" w:hAnsiTheme="majorHAnsi" w:cstheme="majorHAnsi"/>
          <w:b/>
          <w:sz w:val="24"/>
          <w:szCs w:val="24"/>
        </w:rPr>
        <w:t>Immunisation</w:t>
      </w:r>
      <w:r w:rsidRPr="00EB4A49">
        <w:rPr>
          <w:rStyle w:val="FootnoteReference"/>
          <w:rFonts w:asciiTheme="majorHAnsi" w:hAnsiTheme="majorHAnsi" w:cstheme="majorHAnsi"/>
          <w:b/>
          <w:sz w:val="24"/>
          <w:szCs w:val="24"/>
        </w:rPr>
        <w:footnoteReference w:id="13"/>
      </w:r>
      <w:r w:rsidRPr="00EB4A49">
        <w:rPr>
          <w:rFonts w:asciiTheme="majorHAnsi" w:hAnsiTheme="majorHAnsi" w:cstheme="majorHAnsi"/>
          <w:b/>
          <w:sz w:val="24"/>
          <w:szCs w:val="24"/>
        </w:rPr>
        <w:t xml:space="preserve"> </w:t>
      </w:r>
    </w:p>
    <w:p w14:paraId="4A0D67D0" w14:textId="77777777" w:rsidR="00FE288A" w:rsidRPr="00EB4A49" w:rsidRDefault="00FE288A" w:rsidP="00FE288A">
      <w:pPr>
        <w:rPr>
          <w:rFonts w:asciiTheme="majorHAnsi" w:hAnsiTheme="majorHAnsi" w:cstheme="majorHAnsi"/>
          <w:sz w:val="24"/>
          <w:szCs w:val="24"/>
        </w:rPr>
      </w:pPr>
      <w:r w:rsidRPr="00EB4A49">
        <w:rPr>
          <w:rFonts w:asciiTheme="majorHAnsi" w:hAnsiTheme="majorHAnsi" w:cstheme="majorHAnsi"/>
          <w:sz w:val="24"/>
          <w:szCs w:val="24"/>
        </w:rPr>
        <w:t xml:space="preserve">There is </w:t>
      </w:r>
      <w:r w:rsidR="00584DCF" w:rsidRPr="00EB4A49">
        <w:rPr>
          <w:rFonts w:asciiTheme="majorHAnsi" w:hAnsiTheme="majorHAnsi" w:cstheme="majorHAnsi"/>
          <w:sz w:val="24"/>
          <w:szCs w:val="24"/>
        </w:rPr>
        <w:t>a busy immunisation</w:t>
      </w:r>
      <w:r w:rsidRPr="00EB4A49">
        <w:rPr>
          <w:rFonts w:asciiTheme="majorHAnsi" w:hAnsiTheme="majorHAnsi" w:cstheme="majorHAnsi"/>
          <w:sz w:val="24"/>
          <w:szCs w:val="24"/>
        </w:rPr>
        <w:t xml:space="preserve"> schedule for children growing up in the UK. The ambition is that 95% of chi</w:t>
      </w:r>
      <w:r w:rsidR="00584DCF" w:rsidRPr="00EB4A49">
        <w:rPr>
          <w:rFonts w:asciiTheme="majorHAnsi" w:hAnsiTheme="majorHAnsi" w:cstheme="majorHAnsi"/>
          <w:sz w:val="24"/>
          <w:szCs w:val="24"/>
        </w:rPr>
        <w:t>ldren receive each immunisation;</w:t>
      </w:r>
      <w:r w:rsidRPr="00EB4A49">
        <w:rPr>
          <w:rFonts w:asciiTheme="majorHAnsi" w:hAnsiTheme="majorHAnsi" w:cstheme="majorHAnsi"/>
          <w:sz w:val="24"/>
          <w:szCs w:val="24"/>
        </w:rPr>
        <w:t xml:space="preserve"> if this coverage is achieved it is very hard for outbreaks to occur. It is rare for England to meet these targets and </w:t>
      </w:r>
      <w:r w:rsidR="00584DCF" w:rsidRPr="00EB4A49">
        <w:rPr>
          <w:rFonts w:asciiTheme="majorHAnsi" w:hAnsiTheme="majorHAnsi" w:cstheme="majorHAnsi"/>
          <w:sz w:val="24"/>
          <w:szCs w:val="24"/>
        </w:rPr>
        <w:t xml:space="preserve">it </w:t>
      </w:r>
      <w:r w:rsidRPr="00EB4A49">
        <w:rPr>
          <w:rFonts w:asciiTheme="majorHAnsi" w:hAnsiTheme="majorHAnsi" w:cstheme="majorHAnsi"/>
          <w:sz w:val="24"/>
          <w:szCs w:val="24"/>
        </w:rPr>
        <w:t xml:space="preserve">usually sits </w:t>
      </w:r>
      <w:r w:rsidR="00584DCF" w:rsidRPr="00EB4A49">
        <w:rPr>
          <w:rFonts w:asciiTheme="majorHAnsi" w:hAnsiTheme="majorHAnsi" w:cstheme="majorHAnsi"/>
          <w:sz w:val="24"/>
          <w:szCs w:val="24"/>
        </w:rPr>
        <w:t xml:space="preserve">at </w:t>
      </w:r>
      <w:r w:rsidRPr="00EB4A49">
        <w:rPr>
          <w:rFonts w:asciiTheme="majorHAnsi" w:hAnsiTheme="majorHAnsi" w:cstheme="majorHAnsi"/>
          <w:sz w:val="24"/>
          <w:szCs w:val="24"/>
        </w:rPr>
        <w:t>90-92%. This means that regional outbreaks are possible, and indeed they do happen. As a rule York achieves slightly better than the national average, but only occasionally meets the target threshold.  York also has a higher proportion</w:t>
      </w:r>
      <w:r w:rsidR="00584DCF" w:rsidRPr="00EB4A49">
        <w:rPr>
          <w:rFonts w:asciiTheme="majorHAnsi" w:hAnsiTheme="majorHAnsi" w:cstheme="majorHAnsi"/>
          <w:sz w:val="24"/>
          <w:szCs w:val="24"/>
        </w:rPr>
        <w:t xml:space="preserve"> of children in care who are up-to-</w:t>
      </w:r>
      <w:r w:rsidRPr="00EB4A49">
        <w:rPr>
          <w:rFonts w:asciiTheme="majorHAnsi" w:hAnsiTheme="majorHAnsi" w:cstheme="majorHAnsi"/>
          <w:sz w:val="24"/>
          <w:szCs w:val="24"/>
        </w:rPr>
        <w:t xml:space="preserve">date with all their immunisations. </w:t>
      </w:r>
    </w:p>
    <w:p w14:paraId="7F547711" w14:textId="77777777" w:rsidR="00FE288A" w:rsidRPr="00EB4A49" w:rsidRDefault="00FE288A" w:rsidP="00FE288A">
      <w:pPr>
        <w:rPr>
          <w:rFonts w:asciiTheme="majorHAnsi" w:hAnsiTheme="majorHAnsi" w:cstheme="majorHAnsi"/>
          <w:b/>
          <w:sz w:val="24"/>
          <w:szCs w:val="24"/>
        </w:rPr>
      </w:pPr>
      <w:r w:rsidRPr="00EB4A49">
        <w:rPr>
          <w:rFonts w:asciiTheme="majorHAnsi" w:hAnsiTheme="majorHAnsi" w:cstheme="majorHAnsi"/>
          <w:b/>
          <w:sz w:val="24"/>
          <w:szCs w:val="24"/>
        </w:rPr>
        <w:t>Weight</w:t>
      </w:r>
      <w:r w:rsidRPr="00EB4A49">
        <w:rPr>
          <w:rStyle w:val="FootnoteReference"/>
          <w:rFonts w:asciiTheme="majorHAnsi" w:hAnsiTheme="majorHAnsi" w:cstheme="majorHAnsi"/>
          <w:sz w:val="24"/>
          <w:szCs w:val="24"/>
        </w:rPr>
        <w:footnoteReference w:id="14"/>
      </w:r>
      <w:r w:rsidRPr="00EB4A49">
        <w:rPr>
          <w:rFonts w:asciiTheme="majorHAnsi" w:hAnsiTheme="majorHAnsi" w:cstheme="majorHAnsi"/>
          <w:b/>
          <w:sz w:val="24"/>
          <w:szCs w:val="24"/>
        </w:rPr>
        <w:t xml:space="preserve"> </w:t>
      </w:r>
    </w:p>
    <w:p w14:paraId="6668C594" w14:textId="77777777" w:rsidR="00FE288A" w:rsidRPr="00EB4A49" w:rsidRDefault="00FE288A" w:rsidP="00FE288A">
      <w:pPr>
        <w:rPr>
          <w:rFonts w:asciiTheme="majorHAnsi" w:hAnsiTheme="majorHAnsi" w:cstheme="majorHAnsi"/>
          <w:sz w:val="24"/>
          <w:szCs w:val="24"/>
        </w:rPr>
      </w:pPr>
      <w:r w:rsidRPr="00EB4A49">
        <w:rPr>
          <w:rFonts w:asciiTheme="majorHAnsi" w:hAnsiTheme="majorHAnsi" w:cstheme="majorHAnsi"/>
          <w:sz w:val="24"/>
          <w:szCs w:val="24"/>
        </w:rPr>
        <w:t xml:space="preserve">Obesity in childhood makes obesity in adulthood much more likely. Studies tracking childhood obesity into adulthood found health consequences including diabetes, high blood pressure, asthma, liver damage, and depression.  Children’s weight is measured in the reception year and in year six. Last year, 173 of York’s five year olds experienced obesity or severe obesity (9.5%) and 287 of York’s 11 year olds experienced obesity or severe obesity (14.9%). Only 45% of York’s adults </w:t>
      </w:r>
      <w:r w:rsidR="00584DCF" w:rsidRPr="00EB4A49">
        <w:rPr>
          <w:rFonts w:asciiTheme="majorHAnsi" w:hAnsiTheme="majorHAnsi" w:cstheme="majorHAnsi"/>
          <w:sz w:val="24"/>
          <w:szCs w:val="24"/>
        </w:rPr>
        <w:t xml:space="preserve">are </w:t>
      </w:r>
      <w:r w:rsidRPr="00EB4A49">
        <w:rPr>
          <w:rFonts w:asciiTheme="majorHAnsi" w:hAnsiTheme="majorHAnsi" w:cstheme="majorHAnsi"/>
          <w:sz w:val="24"/>
          <w:szCs w:val="24"/>
        </w:rPr>
        <w:t xml:space="preserve">a healthy weight. </w:t>
      </w:r>
    </w:p>
    <w:p w14:paraId="5C70A916" w14:textId="77777777" w:rsidR="00FE288A" w:rsidRPr="00EB4A49" w:rsidRDefault="00FE288A" w:rsidP="001E30CA">
      <w:pPr>
        <w:rPr>
          <w:rFonts w:asciiTheme="majorHAnsi" w:hAnsiTheme="majorHAnsi" w:cstheme="majorHAnsi"/>
          <w:sz w:val="24"/>
          <w:szCs w:val="24"/>
        </w:rPr>
      </w:pPr>
      <w:r w:rsidRPr="00EB4A49">
        <w:rPr>
          <w:rFonts w:asciiTheme="majorHAnsi" w:hAnsiTheme="majorHAnsi" w:cstheme="majorHAnsi"/>
          <w:b/>
          <w:sz w:val="24"/>
          <w:szCs w:val="24"/>
        </w:rPr>
        <w:t xml:space="preserve">Poverty </w:t>
      </w:r>
    </w:p>
    <w:p w14:paraId="6913A787" w14:textId="77777777" w:rsidR="00FE288A" w:rsidRPr="00EB4A49" w:rsidRDefault="00FE288A" w:rsidP="00FE288A">
      <w:pPr>
        <w:rPr>
          <w:rFonts w:asciiTheme="majorHAnsi" w:hAnsiTheme="majorHAnsi" w:cstheme="majorHAnsi"/>
          <w:sz w:val="24"/>
          <w:szCs w:val="24"/>
        </w:rPr>
      </w:pPr>
      <w:r w:rsidRPr="00EB4A49">
        <w:rPr>
          <w:rFonts w:asciiTheme="majorHAnsi" w:hAnsiTheme="majorHAnsi" w:cstheme="majorHAnsi"/>
          <w:sz w:val="24"/>
          <w:szCs w:val="24"/>
        </w:rPr>
        <w:t>In the UK</w:t>
      </w:r>
      <w:r w:rsidR="00BD1A36">
        <w:rPr>
          <w:rFonts w:asciiTheme="majorHAnsi" w:hAnsiTheme="majorHAnsi" w:cstheme="majorHAnsi"/>
          <w:sz w:val="24"/>
          <w:szCs w:val="24"/>
        </w:rPr>
        <w:t>,</w:t>
      </w:r>
      <w:r w:rsidRPr="00EB4A49">
        <w:rPr>
          <w:rFonts w:asciiTheme="majorHAnsi" w:hAnsiTheme="majorHAnsi" w:cstheme="majorHAnsi"/>
          <w:sz w:val="24"/>
          <w:szCs w:val="24"/>
        </w:rPr>
        <w:t xml:space="preserve"> a household is in poverty if it has an income that is less than 60% of the median income for that type of household. It is thought that 130 children in York are in a low income household</w:t>
      </w:r>
      <w:r w:rsidRPr="00EB4A49">
        <w:rPr>
          <w:rStyle w:val="FootnoteReference"/>
          <w:rFonts w:asciiTheme="majorHAnsi" w:hAnsiTheme="majorHAnsi" w:cstheme="majorHAnsi"/>
          <w:sz w:val="24"/>
          <w:szCs w:val="24"/>
        </w:rPr>
        <w:footnoteReference w:id="15"/>
      </w:r>
      <w:r w:rsidRPr="00EB4A49">
        <w:rPr>
          <w:rFonts w:asciiTheme="majorHAnsi" w:hAnsiTheme="majorHAnsi" w:cstheme="majorHAnsi"/>
          <w:sz w:val="24"/>
          <w:szCs w:val="24"/>
        </w:rPr>
        <w:t>.</w:t>
      </w:r>
      <w:r w:rsidR="00A36F4C" w:rsidRPr="00EB4A49">
        <w:rPr>
          <w:rFonts w:asciiTheme="majorHAnsi" w:hAnsiTheme="majorHAnsi" w:cstheme="majorHAnsi"/>
          <w:sz w:val="24"/>
          <w:szCs w:val="24"/>
        </w:rPr>
        <w:t xml:space="preserve"> Childhood poverty is thought to impact 10% of </w:t>
      </w:r>
      <w:r w:rsidR="009350E4">
        <w:rPr>
          <w:rFonts w:asciiTheme="majorHAnsi" w:hAnsiTheme="majorHAnsi" w:cstheme="majorHAnsi"/>
          <w:sz w:val="24"/>
          <w:szCs w:val="24"/>
        </w:rPr>
        <w:t xml:space="preserve">household with </w:t>
      </w:r>
      <w:r w:rsidR="00A36F4C" w:rsidRPr="00EB4A49">
        <w:rPr>
          <w:rFonts w:asciiTheme="majorHAnsi" w:hAnsiTheme="majorHAnsi" w:cstheme="majorHAnsi"/>
          <w:sz w:val="24"/>
          <w:szCs w:val="24"/>
        </w:rPr>
        <w:t xml:space="preserve">children in York, compared with 30% of </w:t>
      </w:r>
      <w:r w:rsidR="009350E4">
        <w:rPr>
          <w:rFonts w:asciiTheme="majorHAnsi" w:hAnsiTheme="majorHAnsi" w:cstheme="majorHAnsi"/>
          <w:sz w:val="24"/>
          <w:szCs w:val="24"/>
        </w:rPr>
        <w:t xml:space="preserve">household with </w:t>
      </w:r>
      <w:r w:rsidR="00A36F4C" w:rsidRPr="00EB4A49">
        <w:rPr>
          <w:rFonts w:asciiTheme="majorHAnsi" w:hAnsiTheme="majorHAnsi" w:cstheme="majorHAnsi"/>
          <w:sz w:val="24"/>
          <w:szCs w:val="24"/>
        </w:rPr>
        <w:t xml:space="preserve">children nationally.  Almost all of these households are thought to have </w:t>
      </w:r>
      <w:r w:rsidRPr="00EB4A49">
        <w:rPr>
          <w:rFonts w:asciiTheme="majorHAnsi" w:hAnsiTheme="majorHAnsi" w:cstheme="majorHAnsi"/>
          <w:sz w:val="24"/>
          <w:szCs w:val="24"/>
        </w:rPr>
        <w:t>at l</w:t>
      </w:r>
      <w:r w:rsidR="00BD1A36">
        <w:rPr>
          <w:rFonts w:asciiTheme="majorHAnsi" w:hAnsiTheme="majorHAnsi" w:cstheme="majorHAnsi"/>
          <w:sz w:val="24"/>
          <w:szCs w:val="24"/>
        </w:rPr>
        <w:t xml:space="preserve">east one parent who is in work, but are in poverty for reasons of </w:t>
      </w:r>
      <w:r w:rsidR="00A36F4C" w:rsidRPr="00EB4A49">
        <w:rPr>
          <w:rFonts w:asciiTheme="majorHAnsi" w:hAnsiTheme="majorHAnsi" w:cstheme="majorHAnsi"/>
          <w:sz w:val="24"/>
          <w:szCs w:val="24"/>
        </w:rPr>
        <w:t>housing costs,</w:t>
      </w:r>
      <w:r w:rsidRPr="00EB4A49">
        <w:rPr>
          <w:rFonts w:asciiTheme="majorHAnsi" w:hAnsiTheme="majorHAnsi" w:cstheme="majorHAnsi"/>
          <w:sz w:val="24"/>
          <w:szCs w:val="24"/>
        </w:rPr>
        <w:t xml:space="preserve"> childcar</w:t>
      </w:r>
      <w:r w:rsidR="00BD1A36">
        <w:rPr>
          <w:rFonts w:asciiTheme="majorHAnsi" w:hAnsiTheme="majorHAnsi" w:cstheme="majorHAnsi"/>
          <w:sz w:val="24"/>
          <w:szCs w:val="24"/>
        </w:rPr>
        <w:t xml:space="preserve">e, and working hours. Poverty increases the risk of speech, language, </w:t>
      </w:r>
      <w:r w:rsidR="00BD1A36">
        <w:rPr>
          <w:rFonts w:asciiTheme="majorHAnsi" w:hAnsiTheme="majorHAnsi" w:cstheme="majorHAnsi"/>
          <w:sz w:val="24"/>
          <w:szCs w:val="24"/>
        </w:rPr>
        <w:lastRenderedPageBreak/>
        <w:t>and communication need in young children and mood disorders such as depression in young people</w:t>
      </w:r>
      <w:r w:rsidR="009350E4">
        <w:rPr>
          <w:rStyle w:val="FootnoteReference"/>
          <w:rFonts w:asciiTheme="majorHAnsi" w:hAnsiTheme="majorHAnsi" w:cstheme="majorHAnsi"/>
          <w:sz w:val="24"/>
          <w:szCs w:val="24"/>
        </w:rPr>
        <w:footnoteReference w:id="16"/>
      </w:r>
      <w:r w:rsidR="00BD1A36">
        <w:rPr>
          <w:rFonts w:asciiTheme="majorHAnsi" w:hAnsiTheme="majorHAnsi" w:cstheme="majorHAnsi"/>
          <w:sz w:val="24"/>
          <w:szCs w:val="24"/>
        </w:rPr>
        <w:t xml:space="preserve">. </w:t>
      </w:r>
      <w:r w:rsidRPr="00EB4A49">
        <w:rPr>
          <w:rFonts w:asciiTheme="majorHAnsi" w:hAnsiTheme="majorHAnsi" w:cstheme="majorHAnsi"/>
          <w:sz w:val="24"/>
          <w:szCs w:val="24"/>
        </w:rPr>
        <w:t xml:space="preserve"> </w:t>
      </w:r>
    </w:p>
    <w:p w14:paraId="320ECD85" w14:textId="77777777" w:rsidR="00FE288A" w:rsidRPr="00EB4A49" w:rsidRDefault="00FE288A" w:rsidP="00FE288A">
      <w:pPr>
        <w:rPr>
          <w:rFonts w:asciiTheme="majorHAnsi" w:hAnsiTheme="majorHAnsi" w:cstheme="majorHAnsi"/>
          <w:b/>
          <w:sz w:val="24"/>
          <w:szCs w:val="24"/>
        </w:rPr>
      </w:pPr>
      <w:r w:rsidRPr="00EB4A49">
        <w:rPr>
          <w:rFonts w:asciiTheme="majorHAnsi" w:hAnsiTheme="majorHAnsi" w:cstheme="majorHAnsi"/>
          <w:b/>
          <w:sz w:val="24"/>
          <w:szCs w:val="24"/>
        </w:rPr>
        <w:t xml:space="preserve">Dental health </w:t>
      </w:r>
    </w:p>
    <w:p w14:paraId="7CEF3B3C" w14:textId="77777777" w:rsidR="00FE288A" w:rsidRPr="00EB4A49" w:rsidRDefault="00FE288A" w:rsidP="00FE288A">
      <w:pPr>
        <w:rPr>
          <w:rFonts w:asciiTheme="majorHAnsi" w:hAnsiTheme="majorHAnsi" w:cstheme="majorHAnsi"/>
          <w:sz w:val="24"/>
          <w:szCs w:val="24"/>
        </w:rPr>
      </w:pPr>
      <w:r w:rsidRPr="00EB4A49">
        <w:rPr>
          <w:rFonts w:asciiTheme="majorHAnsi" w:hAnsiTheme="majorHAnsi" w:cstheme="majorHAnsi"/>
          <w:sz w:val="24"/>
          <w:szCs w:val="24"/>
        </w:rPr>
        <w:t>Tooth decay</w:t>
      </w:r>
      <w:r w:rsidR="00A36F4C" w:rsidRPr="00EB4A49">
        <w:rPr>
          <w:rFonts w:asciiTheme="majorHAnsi" w:hAnsiTheme="majorHAnsi" w:cstheme="majorHAnsi"/>
          <w:sz w:val="24"/>
          <w:szCs w:val="24"/>
        </w:rPr>
        <w:t xml:space="preserve"> is almost entirely preventable</w:t>
      </w:r>
      <w:r w:rsidRPr="00EB4A49">
        <w:rPr>
          <w:rFonts w:asciiTheme="majorHAnsi" w:hAnsiTheme="majorHAnsi" w:cstheme="majorHAnsi"/>
          <w:sz w:val="24"/>
          <w:szCs w:val="24"/>
        </w:rPr>
        <w:t xml:space="preserve">. Tooth decay in children causes pain, difficulty eating, sleeping, learning, and playing. </w:t>
      </w:r>
      <w:r w:rsidR="00A36F4C" w:rsidRPr="00EB4A49">
        <w:rPr>
          <w:rFonts w:asciiTheme="majorHAnsi" w:hAnsiTheme="majorHAnsi" w:cstheme="majorHAnsi"/>
          <w:sz w:val="24"/>
          <w:szCs w:val="24"/>
        </w:rPr>
        <w:t xml:space="preserve">The 2017 dental health assessment in York showed that 16% of 5 year old children in York had </w:t>
      </w:r>
      <w:r w:rsidRPr="00EB4A49">
        <w:rPr>
          <w:rFonts w:asciiTheme="majorHAnsi" w:hAnsiTheme="majorHAnsi" w:cstheme="majorHAnsi"/>
          <w:sz w:val="24"/>
          <w:szCs w:val="24"/>
        </w:rPr>
        <w:t>some dental decay</w:t>
      </w:r>
      <w:r w:rsidRPr="00EB4A49">
        <w:rPr>
          <w:rStyle w:val="FootnoteReference"/>
          <w:rFonts w:asciiTheme="majorHAnsi" w:hAnsiTheme="majorHAnsi" w:cstheme="majorHAnsi"/>
          <w:sz w:val="24"/>
          <w:szCs w:val="24"/>
        </w:rPr>
        <w:footnoteReference w:id="17"/>
      </w:r>
      <w:r w:rsidR="00584DCF" w:rsidRPr="00EB4A49">
        <w:rPr>
          <w:rFonts w:asciiTheme="majorHAnsi" w:hAnsiTheme="majorHAnsi" w:cstheme="majorHAnsi"/>
          <w:sz w:val="24"/>
          <w:szCs w:val="24"/>
        </w:rPr>
        <w:t xml:space="preserve"> and that</w:t>
      </w:r>
      <w:r w:rsidR="00A36F4C" w:rsidRPr="00EB4A49">
        <w:rPr>
          <w:rFonts w:asciiTheme="majorHAnsi" w:hAnsiTheme="majorHAnsi" w:cstheme="majorHAnsi"/>
          <w:sz w:val="24"/>
          <w:szCs w:val="24"/>
        </w:rPr>
        <w:t xml:space="preserve"> an average of 3.7 teeth were affected. </w:t>
      </w:r>
      <w:r w:rsidRPr="00EB4A49">
        <w:rPr>
          <w:rFonts w:asciiTheme="majorHAnsi" w:hAnsiTheme="majorHAnsi" w:cstheme="majorHAnsi"/>
          <w:sz w:val="24"/>
          <w:szCs w:val="24"/>
        </w:rPr>
        <w:t xml:space="preserve">Additionally, 1.6% of children showed signs of sepsis which indicates untreated tooth decay. </w:t>
      </w:r>
      <w:r w:rsidR="00A36F4C" w:rsidRPr="00EB4A49">
        <w:rPr>
          <w:rFonts w:asciiTheme="majorHAnsi" w:hAnsiTheme="majorHAnsi" w:cstheme="majorHAnsi"/>
          <w:sz w:val="24"/>
          <w:szCs w:val="24"/>
        </w:rPr>
        <w:t xml:space="preserve">These figures for York are less </w:t>
      </w:r>
      <w:r w:rsidRPr="00EB4A49">
        <w:rPr>
          <w:rFonts w:asciiTheme="majorHAnsi" w:hAnsiTheme="majorHAnsi" w:cstheme="majorHAnsi"/>
          <w:sz w:val="24"/>
          <w:szCs w:val="24"/>
        </w:rPr>
        <w:t xml:space="preserve">than the Yorkshire or England average. </w:t>
      </w:r>
      <w:r w:rsidR="00A36F4C" w:rsidRPr="00EB4A49">
        <w:rPr>
          <w:rFonts w:asciiTheme="majorHAnsi" w:hAnsiTheme="majorHAnsi" w:cstheme="majorHAnsi"/>
          <w:sz w:val="24"/>
          <w:szCs w:val="24"/>
        </w:rPr>
        <w:t xml:space="preserve">National data </w:t>
      </w:r>
      <w:r w:rsidRPr="00EB4A49">
        <w:rPr>
          <w:rFonts w:asciiTheme="majorHAnsi" w:hAnsiTheme="majorHAnsi" w:cstheme="majorHAnsi"/>
          <w:sz w:val="24"/>
          <w:szCs w:val="24"/>
        </w:rPr>
        <w:t xml:space="preserve">shows that dental decay is substantially more common in special support schools, and that oral hygiene was generally poorer. The survey numbers for York were too small to draw any firm conclusions. </w:t>
      </w:r>
    </w:p>
    <w:p w14:paraId="00C0576D" w14:textId="77777777" w:rsidR="00FE288A" w:rsidRPr="00EB4A49" w:rsidRDefault="001E30CA" w:rsidP="00FE288A">
      <w:pPr>
        <w:rPr>
          <w:rFonts w:asciiTheme="majorHAnsi" w:hAnsiTheme="majorHAnsi" w:cstheme="majorHAnsi"/>
          <w:sz w:val="24"/>
          <w:szCs w:val="24"/>
        </w:rPr>
      </w:pPr>
      <w:r w:rsidRPr="00EB4A49">
        <w:rPr>
          <w:rFonts w:asciiTheme="majorHAnsi" w:hAnsiTheme="majorHAnsi" w:cstheme="majorHAnsi"/>
          <w:b/>
          <w:sz w:val="24"/>
          <w:szCs w:val="24"/>
        </w:rPr>
        <w:t>Life expectancy</w:t>
      </w:r>
    </w:p>
    <w:p w14:paraId="6DE68FFD" w14:textId="77777777" w:rsidR="00BE5D36" w:rsidRDefault="00FE288A">
      <w:pPr>
        <w:rPr>
          <w:rFonts w:asciiTheme="majorHAnsi" w:hAnsiTheme="majorHAnsi" w:cstheme="majorHAnsi"/>
          <w:sz w:val="24"/>
          <w:szCs w:val="24"/>
        </w:rPr>
      </w:pPr>
      <w:r w:rsidRPr="00EB4A49">
        <w:rPr>
          <w:rFonts w:asciiTheme="majorHAnsi" w:hAnsiTheme="majorHAnsi" w:cstheme="majorHAnsi"/>
          <w:sz w:val="24"/>
          <w:szCs w:val="24"/>
        </w:rPr>
        <w:t>The young children of York today are expected</w:t>
      </w:r>
      <w:r w:rsidR="001E30CA" w:rsidRPr="00EB4A49">
        <w:rPr>
          <w:rFonts w:asciiTheme="majorHAnsi" w:hAnsiTheme="majorHAnsi" w:cstheme="majorHAnsi"/>
          <w:sz w:val="24"/>
          <w:szCs w:val="24"/>
        </w:rPr>
        <w:t xml:space="preserve"> to live, on average, for </w:t>
      </w:r>
      <w:r w:rsidRPr="00EB4A49">
        <w:rPr>
          <w:rFonts w:asciiTheme="majorHAnsi" w:hAnsiTheme="majorHAnsi" w:cstheme="majorHAnsi"/>
          <w:sz w:val="24"/>
          <w:szCs w:val="24"/>
        </w:rPr>
        <w:t xml:space="preserve">80 years for men and 83 </w:t>
      </w:r>
      <w:r w:rsidR="001E30CA" w:rsidRPr="00EB4A49">
        <w:rPr>
          <w:rFonts w:asciiTheme="majorHAnsi" w:hAnsiTheme="majorHAnsi" w:cstheme="majorHAnsi"/>
          <w:sz w:val="24"/>
          <w:szCs w:val="24"/>
        </w:rPr>
        <w:t>year</w:t>
      </w:r>
      <w:r w:rsidR="00584DCF" w:rsidRPr="00EB4A49">
        <w:rPr>
          <w:rFonts w:asciiTheme="majorHAnsi" w:hAnsiTheme="majorHAnsi" w:cstheme="majorHAnsi"/>
          <w:sz w:val="24"/>
          <w:szCs w:val="24"/>
        </w:rPr>
        <w:t>s</w:t>
      </w:r>
      <w:r w:rsidR="001E30CA" w:rsidRPr="00EB4A49">
        <w:rPr>
          <w:rFonts w:asciiTheme="majorHAnsi" w:hAnsiTheme="majorHAnsi" w:cstheme="majorHAnsi"/>
          <w:sz w:val="24"/>
          <w:szCs w:val="24"/>
        </w:rPr>
        <w:t xml:space="preserve"> </w:t>
      </w:r>
      <w:r w:rsidRPr="00EB4A49">
        <w:rPr>
          <w:rFonts w:asciiTheme="majorHAnsi" w:hAnsiTheme="majorHAnsi" w:cstheme="majorHAnsi"/>
          <w:sz w:val="24"/>
          <w:szCs w:val="24"/>
        </w:rPr>
        <w:t xml:space="preserve">for women. Life expectancy in York has </w:t>
      </w:r>
      <w:r w:rsidR="001E30CA" w:rsidRPr="00EB4A49">
        <w:rPr>
          <w:rFonts w:asciiTheme="majorHAnsi" w:hAnsiTheme="majorHAnsi" w:cstheme="majorHAnsi"/>
          <w:sz w:val="24"/>
          <w:szCs w:val="24"/>
        </w:rPr>
        <w:t>risen</w:t>
      </w:r>
      <w:r w:rsidRPr="00EB4A49">
        <w:rPr>
          <w:rFonts w:asciiTheme="majorHAnsi" w:hAnsiTheme="majorHAnsi" w:cstheme="majorHAnsi"/>
          <w:sz w:val="24"/>
          <w:szCs w:val="24"/>
        </w:rPr>
        <w:t xml:space="preserve"> </w:t>
      </w:r>
      <w:r w:rsidR="00584DCF" w:rsidRPr="00EB4A49">
        <w:rPr>
          <w:rFonts w:asciiTheme="majorHAnsi" w:hAnsiTheme="majorHAnsi" w:cstheme="majorHAnsi"/>
          <w:sz w:val="24"/>
          <w:szCs w:val="24"/>
        </w:rPr>
        <w:t xml:space="preserve">by </w:t>
      </w:r>
      <w:r w:rsidRPr="00EB4A49">
        <w:rPr>
          <w:rFonts w:asciiTheme="majorHAnsi" w:hAnsiTheme="majorHAnsi" w:cstheme="majorHAnsi"/>
          <w:sz w:val="24"/>
          <w:szCs w:val="24"/>
        </w:rPr>
        <w:t>about one year in the last decade</w:t>
      </w:r>
      <w:r w:rsidRPr="00EB4A49">
        <w:rPr>
          <w:rStyle w:val="FootnoteReference"/>
          <w:rFonts w:asciiTheme="majorHAnsi" w:hAnsiTheme="majorHAnsi" w:cstheme="majorHAnsi"/>
          <w:sz w:val="24"/>
          <w:szCs w:val="24"/>
        </w:rPr>
        <w:footnoteReference w:id="18"/>
      </w:r>
      <w:r w:rsidRPr="00EB4A49">
        <w:rPr>
          <w:rFonts w:asciiTheme="majorHAnsi" w:hAnsiTheme="majorHAnsi" w:cstheme="majorHAnsi"/>
          <w:sz w:val="24"/>
          <w:szCs w:val="24"/>
        </w:rPr>
        <w:t xml:space="preserve">.  </w:t>
      </w:r>
      <w:r w:rsidR="001E30CA" w:rsidRPr="00EB4A49">
        <w:rPr>
          <w:rFonts w:asciiTheme="majorHAnsi" w:hAnsiTheme="majorHAnsi" w:cstheme="majorHAnsi"/>
          <w:sz w:val="24"/>
          <w:szCs w:val="24"/>
        </w:rPr>
        <w:t>This is similar to the national life expectancy for young children.</w:t>
      </w:r>
      <w:r w:rsidR="00C97B9F" w:rsidRPr="00EB4A49">
        <w:rPr>
          <w:rFonts w:asciiTheme="majorHAnsi" w:hAnsiTheme="majorHAnsi" w:cstheme="majorHAnsi"/>
          <w:sz w:val="24"/>
          <w:szCs w:val="24"/>
        </w:rPr>
        <w:t xml:space="preserve"> </w:t>
      </w:r>
      <w:r w:rsidRPr="00EB4A49">
        <w:rPr>
          <w:rFonts w:asciiTheme="majorHAnsi" w:hAnsiTheme="majorHAnsi" w:cstheme="majorHAnsi"/>
          <w:sz w:val="24"/>
          <w:szCs w:val="24"/>
        </w:rPr>
        <w:t>However, the average healthy life expectancy for these same children is 65 years old</w:t>
      </w:r>
      <w:r w:rsidRPr="00EB4A49">
        <w:rPr>
          <w:rStyle w:val="FootnoteReference"/>
          <w:rFonts w:asciiTheme="majorHAnsi" w:hAnsiTheme="majorHAnsi" w:cstheme="majorHAnsi"/>
          <w:sz w:val="24"/>
          <w:szCs w:val="24"/>
        </w:rPr>
        <w:footnoteReference w:id="19"/>
      </w:r>
      <w:r w:rsidR="001E30CA" w:rsidRPr="00EB4A49">
        <w:rPr>
          <w:rFonts w:asciiTheme="majorHAnsi" w:hAnsiTheme="majorHAnsi" w:cstheme="majorHAnsi"/>
          <w:sz w:val="24"/>
          <w:szCs w:val="24"/>
        </w:rPr>
        <w:t>. This means that aro</w:t>
      </w:r>
      <w:r w:rsidRPr="00EB4A49">
        <w:rPr>
          <w:rFonts w:asciiTheme="majorHAnsi" w:hAnsiTheme="majorHAnsi" w:cstheme="majorHAnsi"/>
          <w:sz w:val="24"/>
          <w:szCs w:val="24"/>
        </w:rPr>
        <w:t xml:space="preserve">und half of the children growing up in York today will already experience ill health by the time they retire. Much of </w:t>
      </w:r>
      <w:r w:rsidR="001E30CA" w:rsidRPr="00EB4A49">
        <w:rPr>
          <w:rFonts w:asciiTheme="majorHAnsi" w:hAnsiTheme="majorHAnsi" w:cstheme="majorHAnsi"/>
          <w:sz w:val="24"/>
          <w:szCs w:val="24"/>
        </w:rPr>
        <w:t xml:space="preserve">the ill health they experience could be prevented </w:t>
      </w:r>
      <w:r w:rsidRPr="00EB4A49">
        <w:rPr>
          <w:rFonts w:asciiTheme="majorHAnsi" w:hAnsiTheme="majorHAnsi" w:cstheme="majorHAnsi"/>
          <w:sz w:val="24"/>
          <w:szCs w:val="24"/>
        </w:rPr>
        <w:t xml:space="preserve">through their individual </w:t>
      </w:r>
      <w:r w:rsidR="001E30CA" w:rsidRPr="00EB4A49">
        <w:rPr>
          <w:rFonts w:asciiTheme="majorHAnsi" w:hAnsiTheme="majorHAnsi" w:cstheme="majorHAnsi"/>
          <w:sz w:val="24"/>
          <w:szCs w:val="24"/>
        </w:rPr>
        <w:t xml:space="preserve">health related </w:t>
      </w:r>
      <w:r w:rsidRPr="00EB4A49">
        <w:rPr>
          <w:rFonts w:asciiTheme="majorHAnsi" w:hAnsiTheme="majorHAnsi" w:cstheme="majorHAnsi"/>
          <w:sz w:val="24"/>
          <w:szCs w:val="24"/>
        </w:rPr>
        <w:t xml:space="preserve">behaviour changes (not smoking, nutritious diet, regular activity, social connections). </w:t>
      </w:r>
      <w:r w:rsidR="00BD1A36">
        <w:rPr>
          <w:rFonts w:asciiTheme="majorHAnsi" w:hAnsiTheme="majorHAnsi" w:cstheme="majorHAnsi"/>
          <w:sz w:val="24"/>
          <w:szCs w:val="24"/>
        </w:rPr>
        <w:t xml:space="preserve">Life expectancy for </w:t>
      </w:r>
      <w:r w:rsidR="009350E4">
        <w:rPr>
          <w:rFonts w:asciiTheme="majorHAnsi" w:hAnsiTheme="majorHAnsi" w:cstheme="majorHAnsi"/>
          <w:sz w:val="24"/>
          <w:szCs w:val="24"/>
        </w:rPr>
        <w:t xml:space="preserve">people </w:t>
      </w:r>
      <w:r w:rsidR="00BD1A36">
        <w:rPr>
          <w:rFonts w:asciiTheme="majorHAnsi" w:hAnsiTheme="majorHAnsi" w:cstheme="majorHAnsi"/>
          <w:sz w:val="24"/>
          <w:szCs w:val="24"/>
        </w:rPr>
        <w:t xml:space="preserve">with a learning disability </w:t>
      </w:r>
      <w:r w:rsidR="009350E4">
        <w:rPr>
          <w:rFonts w:asciiTheme="majorHAnsi" w:hAnsiTheme="majorHAnsi" w:cstheme="majorHAnsi"/>
          <w:sz w:val="24"/>
          <w:szCs w:val="24"/>
        </w:rPr>
        <w:t xml:space="preserve">and some sever mental health disorders </w:t>
      </w:r>
      <w:r w:rsidR="00BD1A36">
        <w:rPr>
          <w:rFonts w:asciiTheme="majorHAnsi" w:hAnsiTheme="majorHAnsi" w:cstheme="majorHAnsi"/>
          <w:sz w:val="24"/>
          <w:szCs w:val="24"/>
        </w:rPr>
        <w:t>is considerably lower and usually cut sport by preventable</w:t>
      </w:r>
      <w:r w:rsidR="009350E4">
        <w:rPr>
          <w:rFonts w:asciiTheme="majorHAnsi" w:hAnsiTheme="majorHAnsi" w:cstheme="majorHAnsi"/>
          <w:sz w:val="24"/>
          <w:szCs w:val="24"/>
        </w:rPr>
        <w:t xml:space="preserve"> or treatable</w:t>
      </w:r>
      <w:r w:rsidR="00BD1A36">
        <w:rPr>
          <w:rFonts w:asciiTheme="majorHAnsi" w:hAnsiTheme="majorHAnsi" w:cstheme="majorHAnsi"/>
          <w:sz w:val="24"/>
          <w:szCs w:val="24"/>
        </w:rPr>
        <w:t xml:space="preserve"> diseases. </w:t>
      </w:r>
    </w:p>
    <w:p w14:paraId="412EE13C" w14:textId="28DA505D" w:rsidR="000C62BF" w:rsidRDefault="000C62BF">
      <w:pPr>
        <w:rPr>
          <w:rFonts w:asciiTheme="majorHAnsi" w:hAnsiTheme="majorHAnsi" w:cstheme="majorHAnsi"/>
          <w:sz w:val="24"/>
          <w:szCs w:val="24"/>
        </w:rPr>
      </w:pPr>
      <w:r>
        <w:rPr>
          <w:rFonts w:asciiTheme="majorHAnsi" w:hAnsiTheme="majorHAnsi" w:cstheme="majorHAnsi"/>
          <w:sz w:val="24"/>
          <w:szCs w:val="24"/>
        </w:rPr>
        <w:br w:type="page"/>
      </w:r>
    </w:p>
    <w:p w14:paraId="5A49BB21" w14:textId="77777777" w:rsidR="00EB4A49" w:rsidRPr="00EB4A49" w:rsidRDefault="00EB4A49">
      <w:pPr>
        <w:rPr>
          <w:rFonts w:asciiTheme="majorHAnsi" w:hAnsiTheme="majorHAnsi" w:cstheme="majorHAnsi"/>
          <w:sz w:val="24"/>
          <w:szCs w:val="24"/>
        </w:rPr>
      </w:pPr>
    </w:p>
    <w:p w14:paraId="3E8397A2" w14:textId="77777777" w:rsidR="009E1D79" w:rsidRPr="00EB4A49" w:rsidRDefault="00107255" w:rsidP="00EB4A49">
      <w:pPr>
        <w:pStyle w:val="Heading1"/>
        <w:rPr>
          <w:rFonts w:cstheme="majorHAnsi"/>
          <w:b/>
          <w:sz w:val="24"/>
          <w:szCs w:val="24"/>
        </w:rPr>
      </w:pPr>
      <w:bookmarkStart w:id="6" w:name="_Toc58575066"/>
      <w:r w:rsidRPr="00EB4A49">
        <w:rPr>
          <w:rFonts w:cstheme="majorHAnsi"/>
          <w:b/>
          <w:sz w:val="24"/>
          <w:szCs w:val="24"/>
        </w:rPr>
        <w:t>A 2020 snapshot</w:t>
      </w:r>
      <w:bookmarkEnd w:id="6"/>
      <w:r w:rsidRPr="00EB4A49">
        <w:rPr>
          <w:rFonts w:cstheme="majorHAnsi"/>
          <w:b/>
          <w:sz w:val="24"/>
          <w:szCs w:val="24"/>
        </w:rPr>
        <w:t xml:space="preserve"> </w:t>
      </w:r>
    </w:p>
    <w:p w14:paraId="595CFDB6" w14:textId="0D700C72" w:rsidR="003C6354" w:rsidRPr="00EB4A49" w:rsidRDefault="003C6354" w:rsidP="007B562C">
      <w:pPr>
        <w:pStyle w:val="Heading2"/>
        <w:spacing w:after="120"/>
        <w:rPr>
          <w:rFonts w:cstheme="majorHAnsi"/>
          <w:sz w:val="24"/>
          <w:szCs w:val="24"/>
        </w:rPr>
      </w:pPr>
      <w:bookmarkStart w:id="7" w:name="_Toc58575067"/>
      <w:r w:rsidRPr="00EB4A49">
        <w:rPr>
          <w:rFonts w:cstheme="majorHAnsi"/>
          <w:sz w:val="24"/>
          <w:szCs w:val="24"/>
        </w:rPr>
        <w:t>Description of the c</w:t>
      </w:r>
      <w:r w:rsidR="00932C25" w:rsidRPr="00EB4A49">
        <w:rPr>
          <w:rFonts w:cstheme="majorHAnsi"/>
          <w:sz w:val="24"/>
          <w:szCs w:val="24"/>
        </w:rPr>
        <w:t>urrent SEN</w:t>
      </w:r>
      <w:r w:rsidR="00911F35">
        <w:rPr>
          <w:rFonts w:cstheme="majorHAnsi"/>
          <w:sz w:val="24"/>
          <w:szCs w:val="24"/>
        </w:rPr>
        <w:t xml:space="preserve">D </w:t>
      </w:r>
      <w:r w:rsidRPr="00EB4A49">
        <w:rPr>
          <w:rFonts w:cstheme="majorHAnsi"/>
          <w:sz w:val="24"/>
          <w:szCs w:val="24"/>
        </w:rPr>
        <w:t>cohort</w:t>
      </w:r>
      <w:bookmarkEnd w:id="7"/>
    </w:p>
    <w:p w14:paraId="5F7E237B" w14:textId="1A47AADA" w:rsidR="00453DDD" w:rsidRPr="00EB4A49" w:rsidRDefault="007B562C" w:rsidP="009E1D79">
      <w:pPr>
        <w:rPr>
          <w:rFonts w:asciiTheme="majorHAnsi" w:hAnsiTheme="majorHAnsi" w:cstheme="majorHAnsi"/>
          <w:sz w:val="24"/>
          <w:szCs w:val="24"/>
        </w:rPr>
      </w:pPr>
      <w:r w:rsidRPr="00BD1A36">
        <w:rPr>
          <w:rFonts w:asciiTheme="majorHAnsi" w:hAnsiTheme="majorHAnsi" w:cstheme="majorHAnsi"/>
          <w:sz w:val="24"/>
          <w:szCs w:val="24"/>
        </w:rPr>
        <w:t>N</w:t>
      </w:r>
      <w:r w:rsidR="00DD1EAF" w:rsidRPr="00EB4A49">
        <w:rPr>
          <w:rFonts w:asciiTheme="majorHAnsi" w:hAnsiTheme="majorHAnsi" w:cstheme="majorHAnsi"/>
          <w:sz w:val="24"/>
          <w:szCs w:val="24"/>
        </w:rPr>
        <w:t xml:space="preserve">ationally, the </w:t>
      </w:r>
      <w:r w:rsidR="00D162A1" w:rsidRPr="00EB4A49">
        <w:rPr>
          <w:rFonts w:asciiTheme="majorHAnsi" w:hAnsiTheme="majorHAnsi" w:cstheme="majorHAnsi"/>
          <w:sz w:val="24"/>
          <w:szCs w:val="24"/>
        </w:rPr>
        <w:t>proportion of pupils with a special educati</w:t>
      </w:r>
      <w:r w:rsidR="005B5E93">
        <w:rPr>
          <w:rFonts w:asciiTheme="majorHAnsi" w:hAnsiTheme="majorHAnsi" w:cstheme="majorHAnsi"/>
          <w:sz w:val="24"/>
          <w:szCs w:val="24"/>
        </w:rPr>
        <w:t xml:space="preserve">onal need </w:t>
      </w:r>
      <w:r w:rsidR="00911F35">
        <w:rPr>
          <w:rFonts w:asciiTheme="majorHAnsi" w:hAnsiTheme="majorHAnsi" w:cstheme="majorHAnsi"/>
          <w:sz w:val="24"/>
          <w:szCs w:val="24"/>
        </w:rPr>
        <w:t xml:space="preserve">and disability </w:t>
      </w:r>
      <w:r w:rsidR="005B5E93">
        <w:rPr>
          <w:rFonts w:asciiTheme="majorHAnsi" w:hAnsiTheme="majorHAnsi" w:cstheme="majorHAnsi"/>
          <w:sz w:val="24"/>
          <w:szCs w:val="24"/>
        </w:rPr>
        <w:t>(</w:t>
      </w:r>
      <w:r w:rsidR="008C5C4B" w:rsidRPr="00EB4A49">
        <w:rPr>
          <w:rFonts w:asciiTheme="majorHAnsi" w:hAnsiTheme="majorHAnsi" w:cstheme="majorHAnsi"/>
          <w:sz w:val="24"/>
          <w:szCs w:val="24"/>
        </w:rPr>
        <w:t>January 2019</w:t>
      </w:r>
      <w:r w:rsidR="005B5E93">
        <w:rPr>
          <w:rFonts w:asciiTheme="majorHAnsi" w:hAnsiTheme="majorHAnsi" w:cstheme="majorHAnsi"/>
          <w:sz w:val="24"/>
          <w:szCs w:val="24"/>
        </w:rPr>
        <w:t>)</w:t>
      </w:r>
      <w:r w:rsidR="008C5C4B" w:rsidRPr="00EB4A49">
        <w:rPr>
          <w:rStyle w:val="FootnoteReference"/>
          <w:rFonts w:asciiTheme="majorHAnsi" w:hAnsiTheme="majorHAnsi" w:cstheme="majorHAnsi"/>
          <w:sz w:val="24"/>
          <w:szCs w:val="24"/>
        </w:rPr>
        <w:footnoteReference w:id="20"/>
      </w:r>
      <w:r w:rsidR="00347235" w:rsidRPr="00EB4A49">
        <w:rPr>
          <w:rFonts w:asciiTheme="majorHAnsi" w:hAnsiTheme="majorHAnsi" w:cstheme="majorHAnsi"/>
          <w:sz w:val="24"/>
          <w:szCs w:val="24"/>
        </w:rPr>
        <w:t xml:space="preserve"> wa</w:t>
      </w:r>
      <w:r w:rsidR="00D162A1" w:rsidRPr="00EB4A49">
        <w:rPr>
          <w:rFonts w:asciiTheme="majorHAnsi" w:hAnsiTheme="majorHAnsi" w:cstheme="majorHAnsi"/>
          <w:sz w:val="24"/>
          <w:szCs w:val="24"/>
        </w:rPr>
        <w:t xml:space="preserve">s </w:t>
      </w:r>
      <w:r w:rsidR="00DD1EAF" w:rsidRPr="00EB4A49">
        <w:rPr>
          <w:rFonts w:asciiTheme="majorHAnsi" w:hAnsiTheme="majorHAnsi" w:cstheme="majorHAnsi"/>
          <w:sz w:val="24"/>
          <w:szCs w:val="24"/>
        </w:rPr>
        <w:t>14.9% of the total pupil population.</w:t>
      </w:r>
      <w:r w:rsidR="003C03B2" w:rsidRPr="00EB4A49">
        <w:rPr>
          <w:rFonts w:asciiTheme="majorHAnsi" w:hAnsiTheme="majorHAnsi" w:cstheme="majorHAnsi"/>
          <w:sz w:val="24"/>
          <w:szCs w:val="24"/>
        </w:rPr>
        <w:t xml:space="preserve"> I</w:t>
      </w:r>
      <w:r w:rsidR="00DD1EAF" w:rsidRPr="00EB4A49">
        <w:rPr>
          <w:rFonts w:asciiTheme="majorHAnsi" w:hAnsiTheme="majorHAnsi" w:cstheme="majorHAnsi"/>
          <w:sz w:val="24"/>
          <w:szCs w:val="24"/>
        </w:rPr>
        <w:t xml:space="preserve">n York, </w:t>
      </w:r>
      <w:r w:rsidR="00347235" w:rsidRPr="00EB4A49">
        <w:rPr>
          <w:rFonts w:asciiTheme="majorHAnsi" w:hAnsiTheme="majorHAnsi" w:cstheme="majorHAnsi"/>
          <w:sz w:val="24"/>
          <w:szCs w:val="24"/>
        </w:rPr>
        <w:t>13% of pupils have SEN</w:t>
      </w:r>
      <w:r w:rsidR="00911F35">
        <w:rPr>
          <w:rFonts w:asciiTheme="majorHAnsi" w:hAnsiTheme="majorHAnsi" w:cstheme="majorHAnsi"/>
          <w:sz w:val="24"/>
          <w:szCs w:val="24"/>
        </w:rPr>
        <w:t>D</w:t>
      </w:r>
      <w:r w:rsidR="00347235" w:rsidRPr="00EB4A49">
        <w:rPr>
          <w:rFonts w:asciiTheme="majorHAnsi" w:hAnsiTheme="majorHAnsi" w:cstheme="majorHAnsi"/>
          <w:sz w:val="24"/>
          <w:szCs w:val="24"/>
        </w:rPr>
        <w:t xml:space="preserve"> (</w:t>
      </w:r>
      <w:r w:rsidR="00D162A1" w:rsidRPr="00EB4A49">
        <w:rPr>
          <w:rFonts w:asciiTheme="majorHAnsi" w:hAnsiTheme="majorHAnsi" w:cstheme="majorHAnsi"/>
          <w:sz w:val="24"/>
          <w:szCs w:val="24"/>
        </w:rPr>
        <w:t>January 2020</w:t>
      </w:r>
      <w:r w:rsidR="00863246" w:rsidRPr="00EB4A49">
        <w:rPr>
          <w:rFonts w:asciiTheme="majorHAnsi" w:hAnsiTheme="majorHAnsi" w:cstheme="majorHAnsi"/>
          <w:sz w:val="24"/>
          <w:szCs w:val="24"/>
        </w:rPr>
        <w:t>)</w:t>
      </w:r>
      <w:r w:rsidR="00D162A1" w:rsidRPr="00EB4A49">
        <w:rPr>
          <w:rFonts w:asciiTheme="majorHAnsi" w:hAnsiTheme="majorHAnsi" w:cstheme="majorHAnsi"/>
          <w:sz w:val="24"/>
          <w:szCs w:val="24"/>
        </w:rPr>
        <w:t>;</w:t>
      </w:r>
      <w:r w:rsidR="00DD1EAF" w:rsidRPr="00EB4A49">
        <w:rPr>
          <w:rFonts w:asciiTheme="majorHAnsi" w:hAnsiTheme="majorHAnsi" w:cstheme="majorHAnsi"/>
          <w:sz w:val="24"/>
          <w:szCs w:val="24"/>
        </w:rPr>
        <w:t xml:space="preserve"> 9.6% have SEN-support, and 2.8% have an EHCP</w:t>
      </w:r>
      <w:r w:rsidR="003C6354" w:rsidRPr="00EB4A49">
        <w:rPr>
          <w:rStyle w:val="FootnoteReference"/>
          <w:rFonts w:asciiTheme="majorHAnsi" w:hAnsiTheme="majorHAnsi" w:cstheme="majorHAnsi"/>
          <w:sz w:val="24"/>
          <w:szCs w:val="24"/>
        </w:rPr>
        <w:footnoteReference w:id="21"/>
      </w:r>
      <w:r w:rsidR="003C6354" w:rsidRPr="00EB4A49">
        <w:rPr>
          <w:rFonts w:asciiTheme="majorHAnsi" w:hAnsiTheme="majorHAnsi" w:cstheme="majorHAnsi"/>
          <w:sz w:val="24"/>
          <w:szCs w:val="24"/>
        </w:rPr>
        <w:t>.</w:t>
      </w:r>
      <w:r w:rsidR="00DD1EAF" w:rsidRPr="00EB4A49">
        <w:rPr>
          <w:rFonts w:asciiTheme="majorHAnsi" w:hAnsiTheme="majorHAnsi" w:cstheme="majorHAnsi"/>
          <w:sz w:val="24"/>
          <w:szCs w:val="24"/>
        </w:rPr>
        <w:t xml:space="preserve"> </w:t>
      </w:r>
    </w:p>
    <w:p w14:paraId="052402E6" w14:textId="5CB24214" w:rsidR="005B5E93" w:rsidRDefault="00EB4D7E" w:rsidP="009E1D79">
      <w:pPr>
        <w:rPr>
          <w:rFonts w:asciiTheme="majorHAnsi" w:hAnsiTheme="majorHAnsi" w:cstheme="majorHAnsi"/>
          <w:sz w:val="24"/>
          <w:szCs w:val="24"/>
        </w:rPr>
      </w:pPr>
      <w:r>
        <w:rPr>
          <w:rFonts w:asciiTheme="majorHAnsi" w:hAnsiTheme="majorHAnsi" w:cstheme="majorHAnsi"/>
          <w:sz w:val="24"/>
          <w:szCs w:val="24"/>
        </w:rPr>
        <w:t xml:space="preserve">Pupils with an EHCP have had an assessment of their education, health, and care needs, by a team of professionals. </w:t>
      </w:r>
      <w:r w:rsidR="00120664" w:rsidRPr="00EB4A49">
        <w:rPr>
          <w:rFonts w:asciiTheme="majorHAnsi" w:hAnsiTheme="majorHAnsi" w:cstheme="majorHAnsi"/>
          <w:sz w:val="24"/>
          <w:szCs w:val="24"/>
        </w:rPr>
        <w:t>An EHCP usua</w:t>
      </w:r>
      <w:r w:rsidR="007B562C" w:rsidRPr="00EB4A49">
        <w:rPr>
          <w:rFonts w:asciiTheme="majorHAnsi" w:hAnsiTheme="majorHAnsi" w:cstheme="majorHAnsi"/>
          <w:sz w:val="24"/>
          <w:szCs w:val="24"/>
        </w:rPr>
        <w:t>lly indicates that a pupil requires</w:t>
      </w:r>
      <w:r w:rsidR="00120664" w:rsidRPr="00EB4A49">
        <w:rPr>
          <w:rFonts w:asciiTheme="majorHAnsi" w:hAnsiTheme="majorHAnsi" w:cstheme="majorHAnsi"/>
          <w:sz w:val="24"/>
          <w:szCs w:val="24"/>
        </w:rPr>
        <w:t xml:space="preserve"> a greater level of input to access </w:t>
      </w:r>
      <w:r>
        <w:rPr>
          <w:rFonts w:asciiTheme="majorHAnsi" w:hAnsiTheme="majorHAnsi" w:cstheme="majorHAnsi"/>
          <w:sz w:val="24"/>
          <w:szCs w:val="24"/>
        </w:rPr>
        <w:t>their education.</w:t>
      </w:r>
    </w:p>
    <w:p w14:paraId="075E0258" w14:textId="451EE347" w:rsidR="00C16C08" w:rsidRDefault="008C5C4B" w:rsidP="009E1D79">
      <w:pPr>
        <w:rPr>
          <w:rFonts w:asciiTheme="majorHAnsi" w:hAnsiTheme="majorHAnsi" w:cstheme="majorHAnsi"/>
          <w:sz w:val="24"/>
          <w:szCs w:val="24"/>
        </w:rPr>
      </w:pPr>
      <w:r w:rsidRPr="00EB4A49">
        <w:rPr>
          <w:rFonts w:asciiTheme="majorHAnsi" w:hAnsiTheme="majorHAnsi" w:cstheme="majorHAnsi"/>
          <w:sz w:val="24"/>
          <w:szCs w:val="24"/>
        </w:rPr>
        <w:t>Pupils with SEN</w:t>
      </w:r>
      <w:r w:rsidR="00D162A1" w:rsidRPr="00EB4A49">
        <w:rPr>
          <w:rFonts w:asciiTheme="majorHAnsi" w:hAnsiTheme="majorHAnsi" w:cstheme="majorHAnsi"/>
          <w:sz w:val="24"/>
          <w:szCs w:val="24"/>
        </w:rPr>
        <w:t>-support have additional or differentiated support delivered by the school</w:t>
      </w:r>
      <w:r w:rsidR="00584DCF" w:rsidRPr="00EB4A49">
        <w:rPr>
          <w:rFonts w:asciiTheme="majorHAnsi" w:hAnsiTheme="majorHAnsi" w:cstheme="majorHAnsi"/>
          <w:sz w:val="24"/>
          <w:szCs w:val="24"/>
        </w:rPr>
        <w:t xml:space="preserve"> to enable the</w:t>
      </w:r>
      <w:r w:rsidR="007B562C" w:rsidRPr="00EB4A49">
        <w:rPr>
          <w:rFonts w:asciiTheme="majorHAnsi" w:hAnsiTheme="majorHAnsi" w:cstheme="majorHAnsi"/>
          <w:sz w:val="24"/>
          <w:szCs w:val="24"/>
        </w:rPr>
        <w:t xml:space="preserve"> pupil to access the curriculum. </w:t>
      </w:r>
      <w:r w:rsidR="00120664" w:rsidRPr="00EB4A49">
        <w:rPr>
          <w:rFonts w:asciiTheme="majorHAnsi" w:hAnsiTheme="majorHAnsi" w:cstheme="majorHAnsi"/>
          <w:sz w:val="24"/>
          <w:szCs w:val="24"/>
        </w:rPr>
        <w:t xml:space="preserve">There is considerable variation in the number of pupils in a school with SEN-support. </w:t>
      </w:r>
    </w:p>
    <w:p w14:paraId="4D01F502" w14:textId="415C3464" w:rsidR="003E496A" w:rsidRPr="003E496A" w:rsidRDefault="003E496A" w:rsidP="003E496A">
      <w:pPr>
        <w:pStyle w:val="Heading2"/>
        <w:rPr>
          <w:rFonts w:cstheme="majorHAnsi"/>
          <w:sz w:val="24"/>
          <w:szCs w:val="24"/>
        </w:rPr>
      </w:pPr>
      <w:bookmarkStart w:id="8" w:name="_Toc58575068"/>
      <w:r>
        <w:rPr>
          <w:rFonts w:cstheme="majorHAnsi"/>
          <w:sz w:val="24"/>
          <w:szCs w:val="24"/>
        </w:rPr>
        <w:t>Primary Need</w:t>
      </w:r>
      <w:bookmarkEnd w:id="8"/>
    </w:p>
    <w:p w14:paraId="23CEFC12" w14:textId="526F4678" w:rsidR="003E496A" w:rsidRDefault="00C16C08" w:rsidP="00C16C08">
      <w:pPr>
        <w:rPr>
          <w:rFonts w:asciiTheme="majorHAnsi" w:hAnsiTheme="majorHAnsi" w:cstheme="majorHAnsi"/>
          <w:sz w:val="24"/>
          <w:szCs w:val="24"/>
        </w:rPr>
      </w:pPr>
      <w:r>
        <w:rPr>
          <w:rFonts w:asciiTheme="majorHAnsi" w:hAnsiTheme="majorHAnsi" w:cstheme="majorHAnsi"/>
          <w:sz w:val="24"/>
          <w:szCs w:val="24"/>
        </w:rPr>
        <w:t>The graph below shows that a third of all EHCPs in York are for children and young people with a primary need of autism</w:t>
      </w:r>
      <w:r w:rsidR="008643D2">
        <w:rPr>
          <w:rFonts w:asciiTheme="majorHAnsi" w:hAnsiTheme="majorHAnsi" w:cstheme="majorHAnsi"/>
          <w:sz w:val="24"/>
          <w:szCs w:val="24"/>
        </w:rPr>
        <w:t xml:space="preserve"> spectrum condition</w:t>
      </w:r>
      <w:r>
        <w:rPr>
          <w:rFonts w:asciiTheme="majorHAnsi" w:hAnsiTheme="majorHAnsi" w:cstheme="majorHAnsi"/>
          <w:sz w:val="24"/>
          <w:szCs w:val="24"/>
        </w:rPr>
        <w:t xml:space="preserve">. </w:t>
      </w:r>
      <w:r w:rsidR="003E496A">
        <w:rPr>
          <w:rFonts w:asciiTheme="majorHAnsi" w:hAnsiTheme="majorHAnsi" w:cstheme="majorHAnsi"/>
          <w:sz w:val="24"/>
          <w:szCs w:val="24"/>
        </w:rPr>
        <w:t>This is the most common need type for the EHCP cohort.</w:t>
      </w:r>
      <w:r w:rsidR="00395EC4">
        <w:rPr>
          <w:rFonts w:asciiTheme="majorHAnsi" w:hAnsiTheme="majorHAnsi" w:cstheme="majorHAnsi"/>
          <w:sz w:val="24"/>
          <w:szCs w:val="24"/>
        </w:rPr>
        <w:t xml:space="preserve"> </w:t>
      </w:r>
      <w:r w:rsidR="003E496A">
        <w:rPr>
          <w:rFonts w:asciiTheme="majorHAnsi" w:hAnsiTheme="majorHAnsi" w:cstheme="majorHAnsi"/>
          <w:sz w:val="24"/>
          <w:szCs w:val="24"/>
        </w:rPr>
        <w:t xml:space="preserve">From interviews with parents and with professionals it is clear that there can be considerable wait times for a child or young person to see a professional to receive a diagnosis of autism. Often this can be several months. At present, this is also seen to delay the creation of an EHCP and the associated specialist support for a child or young person. Both parents and professionals express concern around this. </w:t>
      </w:r>
      <w:r w:rsidR="00AD3BFA">
        <w:rPr>
          <w:rFonts w:asciiTheme="majorHAnsi" w:hAnsiTheme="majorHAnsi" w:cstheme="majorHAnsi"/>
          <w:sz w:val="24"/>
          <w:szCs w:val="24"/>
        </w:rPr>
        <w:t xml:space="preserve">In response, there is work to redesign the pathway of support for children and young people who show traits associated with autism spectrum conditions. </w:t>
      </w:r>
    </w:p>
    <w:p w14:paraId="170CAAD8" w14:textId="69914152" w:rsidR="003E496A" w:rsidRPr="00395EC4" w:rsidRDefault="003E496A" w:rsidP="00C16C08">
      <w:pPr>
        <w:rPr>
          <w:rFonts w:asciiTheme="majorHAnsi" w:hAnsiTheme="majorHAnsi" w:cstheme="majorHAnsi"/>
          <w:b/>
          <w:sz w:val="24"/>
          <w:szCs w:val="24"/>
        </w:rPr>
      </w:pPr>
      <w:r>
        <w:rPr>
          <w:rFonts w:asciiTheme="majorHAnsi" w:hAnsiTheme="majorHAnsi" w:cstheme="majorHAnsi"/>
          <w:b/>
          <w:sz w:val="24"/>
          <w:szCs w:val="24"/>
        </w:rPr>
        <w:t xml:space="preserve">Recommendation: </w:t>
      </w:r>
      <w:r w:rsidR="00930542">
        <w:rPr>
          <w:rFonts w:asciiTheme="majorHAnsi" w:hAnsiTheme="majorHAnsi" w:cstheme="majorHAnsi"/>
          <w:b/>
          <w:sz w:val="24"/>
          <w:szCs w:val="24"/>
        </w:rPr>
        <w:t>In recognition that ‘autism’ is the most prevalent need category; t</w:t>
      </w:r>
      <w:r>
        <w:rPr>
          <w:rFonts w:asciiTheme="majorHAnsi" w:hAnsiTheme="majorHAnsi" w:cstheme="majorHAnsi"/>
          <w:b/>
          <w:sz w:val="24"/>
          <w:szCs w:val="24"/>
        </w:rPr>
        <w:t xml:space="preserve">o </w:t>
      </w:r>
      <w:r w:rsidR="00930542">
        <w:rPr>
          <w:rFonts w:asciiTheme="majorHAnsi" w:hAnsiTheme="majorHAnsi" w:cstheme="majorHAnsi"/>
          <w:b/>
          <w:sz w:val="24"/>
          <w:szCs w:val="24"/>
        </w:rPr>
        <w:t>review</w:t>
      </w:r>
      <w:r>
        <w:rPr>
          <w:rFonts w:asciiTheme="majorHAnsi" w:hAnsiTheme="majorHAnsi" w:cstheme="majorHAnsi"/>
          <w:b/>
          <w:sz w:val="24"/>
          <w:szCs w:val="24"/>
        </w:rPr>
        <w:t xml:space="preserve"> the process of support to children/young people who may have autism spectrum conditions. This should include the availability of support to children/young people, their families, and professionals at each point through the periods of pre-diagnosis, seeking diagnosis, and post diagnosis. </w:t>
      </w:r>
      <w:r w:rsidR="00930542">
        <w:rPr>
          <w:rFonts w:asciiTheme="majorHAnsi" w:hAnsiTheme="majorHAnsi" w:cstheme="majorHAnsi"/>
          <w:b/>
          <w:sz w:val="24"/>
          <w:szCs w:val="24"/>
        </w:rPr>
        <w:t>This needs assessment is aware of a scope of work titled ‘the neurodevelopmental pathway’, that has these aims.</w:t>
      </w:r>
    </w:p>
    <w:p w14:paraId="1070C0A8" w14:textId="75BE4726" w:rsidR="00395EC4" w:rsidRDefault="00395EC4" w:rsidP="00C16C08">
      <w:pPr>
        <w:rPr>
          <w:rFonts w:asciiTheme="majorHAnsi" w:hAnsiTheme="majorHAnsi" w:cstheme="majorHAnsi"/>
          <w:sz w:val="24"/>
          <w:szCs w:val="24"/>
        </w:rPr>
      </w:pPr>
      <w:r>
        <w:rPr>
          <w:rFonts w:asciiTheme="majorHAnsi" w:hAnsiTheme="majorHAnsi" w:cstheme="majorHAnsi"/>
          <w:sz w:val="24"/>
          <w:szCs w:val="24"/>
        </w:rPr>
        <w:t>So</w:t>
      </w:r>
      <w:r w:rsidR="00C16C08">
        <w:rPr>
          <w:rFonts w:asciiTheme="majorHAnsi" w:hAnsiTheme="majorHAnsi" w:cstheme="majorHAnsi"/>
          <w:sz w:val="24"/>
          <w:szCs w:val="24"/>
        </w:rPr>
        <w:t>cial emotional and mental health</w:t>
      </w:r>
      <w:r>
        <w:rPr>
          <w:rFonts w:asciiTheme="majorHAnsi" w:hAnsiTheme="majorHAnsi" w:cstheme="majorHAnsi"/>
          <w:sz w:val="24"/>
          <w:szCs w:val="24"/>
        </w:rPr>
        <w:t xml:space="preserve"> is the second most common reason for an EHCP and</w:t>
      </w:r>
      <w:r w:rsidR="00C16C08">
        <w:rPr>
          <w:rFonts w:asciiTheme="majorHAnsi" w:hAnsiTheme="majorHAnsi" w:cstheme="majorHAnsi"/>
          <w:sz w:val="24"/>
          <w:szCs w:val="24"/>
        </w:rPr>
        <w:t xml:space="preserve">, accounts for 14% of all current EHCPs. </w:t>
      </w:r>
      <w:r>
        <w:rPr>
          <w:rFonts w:asciiTheme="majorHAnsi" w:hAnsiTheme="majorHAnsi" w:cstheme="majorHAnsi"/>
          <w:sz w:val="24"/>
          <w:szCs w:val="24"/>
        </w:rPr>
        <w:t xml:space="preserve">SEMH is also the fastest growing group; a third </w:t>
      </w:r>
      <w:r w:rsidR="00C16C08">
        <w:rPr>
          <w:rFonts w:asciiTheme="majorHAnsi" w:hAnsiTheme="majorHAnsi" w:cstheme="majorHAnsi"/>
          <w:sz w:val="24"/>
          <w:szCs w:val="24"/>
        </w:rPr>
        <w:t xml:space="preserve">of new EHCPs issued </w:t>
      </w:r>
      <w:r>
        <w:rPr>
          <w:rFonts w:asciiTheme="majorHAnsi" w:hAnsiTheme="majorHAnsi" w:cstheme="majorHAnsi"/>
          <w:sz w:val="24"/>
          <w:szCs w:val="24"/>
        </w:rPr>
        <w:t xml:space="preserve">in 18/19 </w:t>
      </w:r>
      <w:r w:rsidR="00C16C08">
        <w:rPr>
          <w:rFonts w:asciiTheme="majorHAnsi" w:hAnsiTheme="majorHAnsi" w:cstheme="majorHAnsi"/>
          <w:sz w:val="24"/>
          <w:szCs w:val="24"/>
        </w:rPr>
        <w:t>that year were for social, emotional, and mental health</w:t>
      </w:r>
      <w:r>
        <w:rPr>
          <w:rFonts w:asciiTheme="majorHAnsi" w:hAnsiTheme="majorHAnsi" w:cstheme="majorHAnsi"/>
          <w:sz w:val="24"/>
          <w:szCs w:val="24"/>
        </w:rPr>
        <w:t>.</w:t>
      </w:r>
      <w:r w:rsidR="00C16C08">
        <w:rPr>
          <w:rFonts w:asciiTheme="majorHAnsi" w:hAnsiTheme="majorHAnsi" w:cstheme="majorHAnsi"/>
          <w:sz w:val="24"/>
          <w:szCs w:val="24"/>
        </w:rPr>
        <w:t xml:space="preserve"> </w:t>
      </w:r>
      <w:r>
        <w:rPr>
          <w:rFonts w:asciiTheme="majorHAnsi" w:hAnsiTheme="majorHAnsi" w:cstheme="majorHAnsi"/>
          <w:sz w:val="24"/>
          <w:szCs w:val="24"/>
        </w:rPr>
        <w:t>It is impo</w:t>
      </w:r>
      <w:r w:rsidR="00930542">
        <w:rPr>
          <w:rFonts w:asciiTheme="majorHAnsi" w:hAnsiTheme="majorHAnsi" w:cstheme="majorHAnsi"/>
          <w:sz w:val="24"/>
          <w:szCs w:val="24"/>
        </w:rPr>
        <w:t xml:space="preserve">rtant to recognise that whilst this </w:t>
      </w:r>
      <w:r>
        <w:rPr>
          <w:rFonts w:asciiTheme="majorHAnsi" w:hAnsiTheme="majorHAnsi" w:cstheme="majorHAnsi"/>
          <w:sz w:val="24"/>
          <w:szCs w:val="24"/>
        </w:rPr>
        <w:t xml:space="preserve">features highly and is rapidly growing, this group does not include all children and young people with diagnosable mental health conditions. Young people with diagnosable mental health conditions are a much larger group, and the SEND </w:t>
      </w:r>
      <w:r>
        <w:rPr>
          <w:rFonts w:asciiTheme="majorHAnsi" w:hAnsiTheme="majorHAnsi" w:cstheme="majorHAnsi"/>
          <w:sz w:val="24"/>
          <w:szCs w:val="24"/>
        </w:rPr>
        <w:lastRenderedPageBreak/>
        <w:t xml:space="preserve">cohort only represents a proportion of them. This is in part because many young people with anxiety and depression can still access either education without the need for a SEN-support plan. </w:t>
      </w:r>
    </w:p>
    <w:p w14:paraId="7C63AED9" w14:textId="77777777" w:rsidR="00C16C08" w:rsidRPr="00F17DF7" w:rsidRDefault="00C16C08" w:rsidP="00C16C08">
      <w:pPr>
        <w:rPr>
          <w:rFonts w:asciiTheme="majorHAnsi" w:hAnsiTheme="majorHAnsi" w:cstheme="majorHAnsi"/>
          <w:sz w:val="24"/>
          <w:szCs w:val="24"/>
        </w:rPr>
      </w:pPr>
      <w:r w:rsidRPr="00EB4A49">
        <w:rPr>
          <w:rFonts w:asciiTheme="majorHAnsi" w:hAnsiTheme="majorHAnsi" w:cstheme="majorHAnsi"/>
          <w:sz w:val="24"/>
          <w:szCs w:val="24"/>
        </w:rPr>
        <w:t>The most common need type for pupils with SEN-support is a specific learning disability, closely followed by social emotional or mental health need. Together this accounts for more than half of pupils with SEN-support.</w:t>
      </w:r>
    </w:p>
    <w:p w14:paraId="1737A349" w14:textId="4D4CD930" w:rsidR="00D162A1" w:rsidRDefault="00D162A1" w:rsidP="009E1D79">
      <w:pPr>
        <w:rPr>
          <w:rFonts w:asciiTheme="majorHAnsi" w:hAnsiTheme="majorHAnsi" w:cstheme="majorHAnsi"/>
          <w:i/>
          <w:sz w:val="24"/>
          <w:szCs w:val="24"/>
        </w:rPr>
      </w:pPr>
      <w:r w:rsidRPr="00EB4A49">
        <w:rPr>
          <w:rFonts w:asciiTheme="majorHAnsi" w:hAnsiTheme="majorHAnsi" w:cstheme="majorHAnsi"/>
          <w:i/>
          <w:sz w:val="24"/>
          <w:szCs w:val="24"/>
        </w:rPr>
        <w:t xml:space="preserve">Need type by EHCP (left) and SEN-Support (right) for CYP in In York, January 2020 school census. </w:t>
      </w:r>
      <w:r w:rsidRPr="00EB4A49">
        <w:rPr>
          <w:rFonts w:asciiTheme="majorHAnsi" w:hAnsiTheme="majorHAnsi" w:cstheme="majorHAnsi"/>
          <w:noProof/>
          <w:sz w:val="24"/>
          <w:szCs w:val="24"/>
          <w:lang w:eastAsia="en-GB"/>
        </w:rPr>
        <w:drawing>
          <wp:inline distT="0" distB="0" distL="0" distR="0" wp14:anchorId="3A02E45C" wp14:editId="1BFF668E">
            <wp:extent cx="5452961"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2961" cy="2880000"/>
                    </a:xfrm>
                    <a:prstGeom prst="rect">
                      <a:avLst/>
                    </a:prstGeom>
                    <a:noFill/>
                    <a:ln>
                      <a:noFill/>
                    </a:ln>
                  </pic:spPr>
                </pic:pic>
              </a:graphicData>
            </a:graphic>
          </wp:inline>
        </w:drawing>
      </w:r>
    </w:p>
    <w:p w14:paraId="3D3CC91C" w14:textId="77777777" w:rsidR="00930542" w:rsidRDefault="00930542" w:rsidP="00C97B9F">
      <w:pPr>
        <w:pStyle w:val="Heading2"/>
        <w:rPr>
          <w:rFonts w:cstheme="majorHAnsi"/>
          <w:sz w:val="24"/>
          <w:szCs w:val="24"/>
        </w:rPr>
      </w:pPr>
    </w:p>
    <w:p w14:paraId="4C7FE316" w14:textId="6C92225A" w:rsidR="00D57010" w:rsidRPr="00EB4A49" w:rsidRDefault="00D57010" w:rsidP="00C97B9F">
      <w:pPr>
        <w:pStyle w:val="Heading2"/>
        <w:rPr>
          <w:rFonts w:cstheme="majorHAnsi"/>
          <w:sz w:val="24"/>
          <w:szCs w:val="24"/>
        </w:rPr>
      </w:pPr>
      <w:bookmarkStart w:id="9" w:name="_Toc58575069"/>
      <w:r w:rsidRPr="00EB4A49">
        <w:rPr>
          <w:rFonts w:cstheme="majorHAnsi"/>
          <w:sz w:val="24"/>
          <w:szCs w:val="24"/>
        </w:rPr>
        <w:t>Age trends among pupils with an EHCP</w:t>
      </w:r>
      <w:bookmarkEnd w:id="9"/>
      <w:r w:rsidR="00AD3BFA">
        <w:rPr>
          <w:rFonts w:cstheme="majorHAnsi"/>
          <w:sz w:val="24"/>
          <w:szCs w:val="24"/>
        </w:rPr>
        <w:t xml:space="preserve"> </w:t>
      </w:r>
    </w:p>
    <w:p w14:paraId="328BA1D1" w14:textId="77777777" w:rsidR="00AD3BFA" w:rsidRDefault="00AD3BFA" w:rsidP="009E1D79">
      <w:pPr>
        <w:rPr>
          <w:rFonts w:asciiTheme="majorHAnsi" w:hAnsiTheme="majorHAnsi" w:cstheme="majorHAnsi"/>
          <w:sz w:val="24"/>
          <w:szCs w:val="24"/>
        </w:rPr>
      </w:pPr>
    </w:p>
    <w:p w14:paraId="2FDB6E48" w14:textId="700D0DC3" w:rsidR="00942407" w:rsidRDefault="00144C8D" w:rsidP="009E1D79">
      <w:pPr>
        <w:rPr>
          <w:rFonts w:asciiTheme="majorHAnsi" w:hAnsiTheme="majorHAnsi" w:cstheme="majorHAnsi"/>
          <w:sz w:val="24"/>
          <w:szCs w:val="24"/>
        </w:rPr>
      </w:pPr>
      <w:r w:rsidRPr="00EB4A49">
        <w:rPr>
          <w:rFonts w:asciiTheme="majorHAnsi" w:hAnsiTheme="majorHAnsi" w:cstheme="majorHAnsi"/>
          <w:sz w:val="24"/>
          <w:szCs w:val="24"/>
        </w:rPr>
        <w:t>A</w:t>
      </w:r>
      <w:r w:rsidR="00942407" w:rsidRPr="00EB4A49">
        <w:rPr>
          <w:rFonts w:asciiTheme="majorHAnsi" w:hAnsiTheme="majorHAnsi" w:cstheme="majorHAnsi"/>
          <w:sz w:val="24"/>
          <w:szCs w:val="24"/>
        </w:rPr>
        <w:t xml:space="preserve">mong children and young people with </w:t>
      </w:r>
      <w:r w:rsidR="00D57010" w:rsidRPr="00EB4A49">
        <w:rPr>
          <w:rFonts w:asciiTheme="majorHAnsi" w:hAnsiTheme="majorHAnsi" w:cstheme="majorHAnsi"/>
          <w:sz w:val="24"/>
          <w:szCs w:val="24"/>
        </w:rPr>
        <w:t>an EHCP</w:t>
      </w:r>
      <w:r w:rsidR="00192C79" w:rsidRPr="00EB4A49">
        <w:rPr>
          <w:rFonts w:asciiTheme="majorHAnsi" w:hAnsiTheme="majorHAnsi" w:cstheme="majorHAnsi"/>
          <w:sz w:val="24"/>
          <w:szCs w:val="24"/>
        </w:rPr>
        <w:t>,</w:t>
      </w:r>
      <w:r w:rsidR="00942407" w:rsidRPr="00EB4A49">
        <w:rPr>
          <w:rFonts w:asciiTheme="majorHAnsi" w:hAnsiTheme="majorHAnsi" w:cstheme="majorHAnsi"/>
          <w:sz w:val="24"/>
          <w:szCs w:val="24"/>
        </w:rPr>
        <w:t xml:space="preserve"> com</w:t>
      </w:r>
      <w:r w:rsidR="00D57010" w:rsidRPr="00EB4A49">
        <w:rPr>
          <w:rFonts w:asciiTheme="majorHAnsi" w:hAnsiTheme="majorHAnsi" w:cstheme="majorHAnsi"/>
          <w:sz w:val="24"/>
          <w:szCs w:val="24"/>
        </w:rPr>
        <w:t xml:space="preserve">munication and interaction needs are most prevalent across almost all age bands. </w:t>
      </w:r>
      <w:r w:rsidRPr="00EB4A49">
        <w:rPr>
          <w:rFonts w:asciiTheme="majorHAnsi" w:hAnsiTheme="majorHAnsi" w:cstheme="majorHAnsi"/>
          <w:sz w:val="24"/>
          <w:szCs w:val="24"/>
        </w:rPr>
        <w:t xml:space="preserve">Most of this group will have a diagnosis of autism.  </w:t>
      </w:r>
      <w:r w:rsidR="008308F9">
        <w:rPr>
          <w:rFonts w:asciiTheme="majorHAnsi" w:hAnsiTheme="majorHAnsi" w:cstheme="majorHAnsi"/>
          <w:sz w:val="24"/>
          <w:szCs w:val="24"/>
        </w:rPr>
        <w:t xml:space="preserve">However, there is an increase </w:t>
      </w:r>
      <w:r w:rsidR="00D57010" w:rsidRPr="00EB4A49">
        <w:rPr>
          <w:rFonts w:asciiTheme="majorHAnsi" w:hAnsiTheme="majorHAnsi" w:cstheme="majorHAnsi"/>
          <w:sz w:val="24"/>
          <w:szCs w:val="24"/>
        </w:rPr>
        <w:t xml:space="preserve">in the numbers of pupils with </w:t>
      </w:r>
      <w:r w:rsidR="00192C79" w:rsidRPr="00EB4A49">
        <w:rPr>
          <w:rFonts w:asciiTheme="majorHAnsi" w:hAnsiTheme="majorHAnsi" w:cstheme="majorHAnsi"/>
          <w:sz w:val="24"/>
          <w:szCs w:val="24"/>
        </w:rPr>
        <w:t>‘</w:t>
      </w:r>
      <w:r w:rsidR="00D57010" w:rsidRPr="00EB4A49">
        <w:rPr>
          <w:rFonts w:asciiTheme="majorHAnsi" w:hAnsiTheme="majorHAnsi" w:cstheme="majorHAnsi"/>
          <w:sz w:val="24"/>
          <w:szCs w:val="24"/>
        </w:rPr>
        <w:t>cognition</w:t>
      </w:r>
      <w:r w:rsidR="00192C79" w:rsidRPr="00EB4A49">
        <w:rPr>
          <w:rFonts w:asciiTheme="majorHAnsi" w:hAnsiTheme="majorHAnsi" w:cstheme="majorHAnsi"/>
          <w:sz w:val="24"/>
          <w:szCs w:val="24"/>
        </w:rPr>
        <w:t xml:space="preserve"> and learning’ or ‘socia</w:t>
      </w:r>
      <w:r w:rsidR="008308F9">
        <w:rPr>
          <w:rFonts w:asciiTheme="majorHAnsi" w:hAnsiTheme="majorHAnsi" w:cstheme="majorHAnsi"/>
          <w:sz w:val="24"/>
          <w:szCs w:val="24"/>
        </w:rPr>
        <w:t>l, emotional, and mental health’</w:t>
      </w:r>
      <w:r w:rsidR="00A32326" w:rsidRPr="00EB4A49">
        <w:rPr>
          <w:rFonts w:asciiTheme="majorHAnsi" w:hAnsiTheme="majorHAnsi" w:cstheme="majorHAnsi"/>
          <w:sz w:val="24"/>
          <w:szCs w:val="24"/>
        </w:rPr>
        <w:t xml:space="preserve"> as a primary need</w:t>
      </w:r>
      <w:r w:rsidR="00AD3BFA">
        <w:rPr>
          <w:rFonts w:asciiTheme="majorHAnsi" w:hAnsiTheme="majorHAnsi" w:cstheme="majorHAnsi"/>
          <w:sz w:val="24"/>
          <w:szCs w:val="24"/>
        </w:rPr>
        <w:t xml:space="preserve"> as children get older. </w:t>
      </w:r>
    </w:p>
    <w:p w14:paraId="1022907C" w14:textId="77777777" w:rsidR="00C16C08" w:rsidRPr="00EB4A49" w:rsidRDefault="00C16C08" w:rsidP="009E1D79">
      <w:pPr>
        <w:rPr>
          <w:rFonts w:asciiTheme="majorHAnsi" w:hAnsiTheme="majorHAnsi" w:cstheme="majorHAnsi"/>
          <w:sz w:val="24"/>
          <w:szCs w:val="24"/>
        </w:rPr>
      </w:pPr>
    </w:p>
    <w:p w14:paraId="190D8DBC" w14:textId="77777777" w:rsidR="00144C8D" w:rsidRPr="00EB4A49" w:rsidRDefault="00144C8D" w:rsidP="009E1D79">
      <w:pPr>
        <w:rPr>
          <w:rFonts w:asciiTheme="majorHAnsi" w:hAnsiTheme="majorHAnsi" w:cstheme="majorHAnsi"/>
          <w:sz w:val="24"/>
          <w:szCs w:val="24"/>
        </w:rPr>
      </w:pPr>
      <w:r w:rsidRPr="00EB4A49">
        <w:rPr>
          <w:noProof/>
          <w:sz w:val="24"/>
          <w:szCs w:val="24"/>
          <w:lang w:eastAsia="en-GB"/>
        </w:rPr>
        <w:lastRenderedPageBreak/>
        <w:drawing>
          <wp:inline distT="0" distB="0" distL="0" distR="0" wp14:anchorId="300E13DA" wp14:editId="271C69DD">
            <wp:extent cx="5731510" cy="2880000"/>
            <wp:effectExtent l="0" t="0" r="254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1EC906" w14:textId="2773455A" w:rsidR="00477476" w:rsidRPr="00477476" w:rsidRDefault="00477476" w:rsidP="00477476"/>
    <w:p w14:paraId="361298F6" w14:textId="77777777" w:rsidR="00460143" w:rsidRPr="00EB4A49" w:rsidRDefault="00460143" w:rsidP="00C97B9F">
      <w:pPr>
        <w:pStyle w:val="Heading2"/>
        <w:rPr>
          <w:rFonts w:cstheme="majorHAnsi"/>
          <w:sz w:val="24"/>
          <w:szCs w:val="24"/>
        </w:rPr>
      </w:pPr>
      <w:bookmarkStart w:id="10" w:name="_Toc58575070"/>
      <w:r w:rsidRPr="00EB4A49">
        <w:rPr>
          <w:rFonts w:cstheme="majorHAnsi"/>
          <w:sz w:val="24"/>
          <w:szCs w:val="24"/>
        </w:rPr>
        <w:t>Age trends among pupils with SEN-support</w:t>
      </w:r>
      <w:bookmarkEnd w:id="10"/>
      <w:r w:rsidRPr="00EB4A49">
        <w:rPr>
          <w:rFonts w:cstheme="majorHAnsi"/>
          <w:sz w:val="24"/>
          <w:szCs w:val="24"/>
        </w:rPr>
        <w:t xml:space="preserve"> </w:t>
      </w:r>
    </w:p>
    <w:p w14:paraId="349D94E4" w14:textId="5ED9D4AB" w:rsidR="00460143" w:rsidRPr="00EB4A49" w:rsidRDefault="0081324F" w:rsidP="00044E60">
      <w:pPr>
        <w:rPr>
          <w:rFonts w:asciiTheme="majorHAnsi" w:hAnsiTheme="majorHAnsi" w:cstheme="majorHAnsi"/>
          <w:sz w:val="24"/>
          <w:szCs w:val="24"/>
        </w:rPr>
      </w:pPr>
      <w:r>
        <w:rPr>
          <w:rFonts w:asciiTheme="majorHAnsi" w:hAnsiTheme="majorHAnsi" w:cstheme="majorHAnsi"/>
          <w:sz w:val="24"/>
          <w:szCs w:val="24"/>
        </w:rPr>
        <w:t xml:space="preserve">In young children, communication and interaction need is most prevalent; </w:t>
      </w:r>
      <w:r w:rsidR="00930542">
        <w:rPr>
          <w:rFonts w:asciiTheme="majorHAnsi" w:hAnsiTheme="majorHAnsi" w:cstheme="majorHAnsi"/>
          <w:sz w:val="24"/>
          <w:szCs w:val="24"/>
        </w:rPr>
        <w:t>nearly half o</w:t>
      </w:r>
      <w:r>
        <w:rPr>
          <w:rFonts w:asciiTheme="majorHAnsi" w:hAnsiTheme="majorHAnsi" w:cstheme="majorHAnsi"/>
          <w:sz w:val="24"/>
          <w:szCs w:val="24"/>
        </w:rPr>
        <w:t xml:space="preserve">f KS1 </w:t>
      </w:r>
      <w:r w:rsidR="00930542">
        <w:rPr>
          <w:rFonts w:asciiTheme="majorHAnsi" w:hAnsiTheme="majorHAnsi" w:cstheme="majorHAnsi"/>
          <w:sz w:val="24"/>
          <w:szCs w:val="24"/>
        </w:rPr>
        <w:t xml:space="preserve">with </w:t>
      </w:r>
      <w:r>
        <w:rPr>
          <w:rFonts w:asciiTheme="majorHAnsi" w:hAnsiTheme="majorHAnsi" w:cstheme="majorHAnsi"/>
          <w:sz w:val="24"/>
          <w:szCs w:val="24"/>
        </w:rPr>
        <w:t>SEN-support plans. From age eight cognition and learning need becomes more prevalent; 4</w:t>
      </w:r>
      <w:r w:rsidR="00D610E0" w:rsidRPr="00EB4A49">
        <w:rPr>
          <w:rFonts w:asciiTheme="majorHAnsi" w:hAnsiTheme="majorHAnsi" w:cstheme="majorHAnsi"/>
          <w:sz w:val="24"/>
          <w:szCs w:val="24"/>
        </w:rPr>
        <w:t xml:space="preserve">0% of SEN-support plans for 8-16 year olds. </w:t>
      </w:r>
      <w:r w:rsidR="00044E60" w:rsidRPr="00EB4A49">
        <w:rPr>
          <w:rFonts w:asciiTheme="majorHAnsi" w:hAnsiTheme="majorHAnsi" w:cstheme="majorHAnsi"/>
          <w:sz w:val="24"/>
          <w:szCs w:val="24"/>
        </w:rPr>
        <w:t>28% of SEN-support plans for secondary age children are linked to social, e</w:t>
      </w:r>
      <w:r w:rsidR="00192C79" w:rsidRPr="00EB4A49">
        <w:rPr>
          <w:rFonts w:asciiTheme="majorHAnsi" w:hAnsiTheme="majorHAnsi" w:cstheme="majorHAnsi"/>
          <w:sz w:val="24"/>
          <w:szCs w:val="24"/>
        </w:rPr>
        <w:t>motional, or mental health need, and this rises slightly with age.</w:t>
      </w:r>
      <w:r w:rsidR="00930542">
        <w:rPr>
          <w:rFonts w:asciiTheme="majorHAnsi" w:hAnsiTheme="majorHAnsi" w:cstheme="majorHAnsi"/>
          <w:sz w:val="24"/>
          <w:szCs w:val="24"/>
        </w:rPr>
        <w:t xml:space="preserve"> </w:t>
      </w:r>
      <w:r w:rsidR="00460143" w:rsidRPr="00EB4A49">
        <w:rPr>
          <w:rFonts w:asciiTheme="majorHAnsi" w:hAnsiTheme="majorHAnsi" w:cstheme="majorHAnsi"/>
          <w:sz w:val="24"/>
          <w:szCs w:val="24"/>
        </w:rPr>
        <w:t xml:space="preserve">Need linked to a sensory and physical impairment is stable across all age groups. </w:t>
      </w:r>
    </w:p>
    <w:p w14:paraId="1C65B1D1" w14:textId="77777777" w:rsidR="00460143" w:rsidRPr="00EB4A49" w:rsidRDefault="00460143" w:rsidP="00460143">
      <w:pPr>
        <w:rPr>
          <w:rFonts w:asciiTheme="majorHAnsi" w:hAnsiTheme="majorHAnsi" w:cstheme="majorHAnsi"/>
          <w:sz w:val="24"/>
          <w:szCs w:val="24"/>
        </w:rPr>
      </w:pPr>
      <w:r w:rsidRPr="00EB4A49">
        <w:rPr>
          <w:noProof/>
          <w:sz w:val="24"/>
          <w:szCs w:val="24"/>
          <w:lang w:eastAsia="en-GB"/>
        </w:rPr>
        <w:drawing>
          <wp:inline distT="0" distB="0" distL="0" distR="0" wp14:anchorId="08160AB2" wp14:editId="50A5061C">
            <wp:extent cx="5731510" cy="2880000"/>
            <wp:effectExtent l="0" t="0" r="254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CED699" w14:textId="533C4A61" w:rsidR="00D3384D" w:rsidRDefault="00395EC4" w:rsidP="00E441D2">
      <w:pPr>
        <w:rPr>
          <w:rFonts w:asciiTheme="majorHAnsi" w:hAnsiTheme="majorHAnsi" w:cstheme="majorHAnsi"/>
          <w:sz w:val="24"/>
          <w:szCs w:val="24"/>
        </w:rPr>
      </w:pPr>
      <w:r>
        <w:rPr>
          <w:rFonts w:asciiTheme="majorHAnsi" w:hAnsiTheme="majorHAnsi" w:cstheme="majorHAnsi"/>
          <w:sz w:val="24"/>
          <w:szCs w:val="24"/>
        </w:rPr>
        <w:t xml:space="preserve">Taken together, these age trends on SEND show that the primary need for children and young people is </w:t>
      </w:r>
      <w:r w:rsidR="00930542">
        <w:rPr>
          <w:rFonts w:asciiTheme="majorHAnsi" w:hAnsiTheme="majorHAnsi" w:cstheme="majorHAnsi"/>
          <w:sz w:val="24"/>
          <w:szCs w:val="24"/>
        </w:rPr>
        <w:t xml:space="preserve">not stable, but is </w:t>
      </w:r>
      <w:r>
        <w:rPr>
          <w:rFonts w:asciiTheme="majorHAnsi" w:hAnsiTheme="majorHAnsi" w:cstheme="majorHAnsi"/>
          <w:sz w:val="24"/>
          <w:szCs w:val="24"/>
        </w:rPr>
        <w:t xml:space="preserve">prone to shift and change over time. </w:t>
      </w:r>
      <w:r w:rsidR="00930542">
        <w:rPr>
          <w:rFonts w:asciiTheme="majorHAnsi" w:hAnsiTheme="majorHAnsi" w:cstheme="majorHAnsi"/>
          <w:sz w:val="24"/>
          <w:szCs w:val="24"/>
        </w:rPr>
        <w:t>It is not thought likely that a child’s underlying need shifts considerably. Professionals working in this area feel that t</w:t>
      </w:r>
      <w:r w:rsidR="00D3384D">
        <w:rPr>
          <w:rFonts w:asciiTheme="majorHAnsi" w:hAnsiTheme="majorHAnsi" w:cstheme="majorHAnsi"/>
          <w:sz w:val="24"/>
          <w:szCs w:val="24"/>
        </w:rPr>
        <w:t xml:space="preserve">he most likely explanation is that the interpretation of </w:t>
      </w:r>
      <w:r w:rsidR="00AD3BFA">
        <w:rPr>
          <w:rFonts w:asciiTheme="majorHAnsi" w:hAnsiTheme="majorHAnsi" w:cstheme="majorHAnsi"/>
          <w:sz w:val="24"/>
          <w:szCs w:val="24"/>
        </w:rPr>
        <w:t xml:space="preserve">or system response to a </w:t>
      </w:r>
      <w:r w:rsidR="00D3384D">
        <w:rPr>
          <w:rFonts w:asciiTheme="majorHAnsi" w:hAnsiTheme="majorHAnsi" w:cstheme="majorHAnsi"/>
          <w:sz w:val="24"/>
          <w:szCs w:val="24"/>
        </w:rPr>
        <w:t>child’</w:t>
      </w:r>
      <w:r w:rsidR="00AD3BFA">
        <w:rPr>
          <w:rFonts w:asciiTheme="majorHAnsi" w:hAnsiTheme="majorHAnsi" w:cstheme="majorHAnsi"/>
          <w:sz w:val="24"/>
          <w:szCs w:val="24"/>
        </w:rPr>
        <w:t>s need is changing over time. T</w:t>
      </w:r>
      <w:r w:rsidR="00D3384D">
        <w:rPr>
          <w:rFonts w:asciiTheme="majorHAnsi" w:hAnsiTheme="majorHAnsi" w:cstheme="majorHAnsi"/>
          <w:sz w:val="24"/>
          <w:szCs w:val="24"/>
        </w:rPr>
        <w:t xml:space="preserve">his has caused some to be concerned that there are differing </w:t>
      </w:r>
      <w:r w:rsidR="00930542">
        <w:rPr>
          <w:rFonts w:asciiTheme="majorHAnsi" w:hAnsiTheme="majorHAnsi" w:cstheme="majorHAnsi"/>
          <w:sz w:val="24"/>
          <w:szCs w:val="24"/>
        </w:rPr>
        <w:lastRenderedPageBreak/>
        <w:t>practices in primary need type between key stages, or as a child’s expression of their need alters.</w:t>
      </w:r>
      <w:r w:rsidR="00D3384D">
        <w:rPr>
          <w:rFonts w:asciiTheme="majorHAnsi" w:hAnsiTheme="majorHAnsi" w:cstheme="majorHAnsi"/>
          <w:sz w:val="24"/>
          <w:szCs w:val="24"/>
        </w:rPr>
        <w:t xml:space="preserve"> However, from the data available at the present time it is </w:t>
      </w:r>
      <w:r w:rsidR="00930542">
        <w:rPr>
          <w:rFonts w:asciiTheme="majorHAnsi" w:hAnsiTheme="majorHAnsi" w:cstheme="majorHAnsi"/>
          <w:sz w:val="24"/>
          <w:szCs w:val="24"/>
        </w:rPr>
        <w:t xml:space="preserve">very </w:t>
      </w:r>
      <w:r w:rsidR="00D3384D">
        <w:rPr>
          <w:rFonts w:asciiTheme="majorHAnsi" w:hAnsiTheme="majorHAnsi" w:cstheme="majorHAnsi"/>
          <w:sz w:val="24"/>
          <w:szCs w:val="24"/>
        </w:rPr>
        <w:t xml:space="preserve">difficult to track a child’s ‘journey’ between different primary need classifications to explore this theory fully. </w:t>
      </w:r>
    </w:p>
    <w:p w14:paraId="70CC7DAE" w14:textId="2C959015" w:rsidR="00D3384D" w:rsidRPr="00D3384D" w:rsidRDefault="00DD2E2D" w:rsidP="00E441D2">
      <w:pPr>
        <w:rPr>
          <w:rFonts w:asciiTheme="majorHAnsi" w:hAnsiTheme="majorHAnsi" w:cstheme="majorHAnsi"/>
          <w:b/>
          <w:sz w:val="24"/>
          <w:szCs w:val="24"/>
        </w:rPr>
      </w:pPr>
      <w:r>
        <w:rPr>
          <w:rFonts w:asciiTheme="majorHAnsi" w:hAnsiTheme="majorHAnsi" w:cstheme="majorHAnsi"/>
          <w:b/>
          <w:sz w:val="24"/>
          <w:szCs w:val="24"/>
        </w:rPr>
        <w:t>R</w:t>
      </w:r>
      <w:r w:rsidR="00D3384D" w:rsidRPr="00D3384D">
        <w:rPr>
          <w:rFonts w:asciiTheme="majorHAnsi" w:hAnsiTheme="majorHAnsi" w:cstheme="majorHAnsi"/>
          <w:b/>
          <w:sz w:val="24"/>
          <w:szCs w:val="24"/>
        </w:rPr>
        <w:t>recommendation: To use a</w:t>
      </w:r>
      <w:r w:rsidR="00930542">
        <w:rPr>
          <w:rFonts w:asciiTheme="majorHAnsi" w:hAnsiTheme="majorHAnsi" w:cstheme="majorHAnsi"/>
          <w:b/>
          <w:sz w:val="24"/>
          <w:szCs w:val="24"/>
        </w:rPr>
        <w:t xml:space="preserve"> representative</w:t>
      </w:r>
      <w:r w:rsidR="00D3384D" w:rsidRPr="00D3384D">
        <w:rPr>
          <w:rFonts w:asciiTheme="majorHAnsi" w:hAnsiTheme="majorHAnsi" w:cstheme="majorHAnsi"/>
          <w:b/>
          <w:sz w:val="24"/>
          <w:szCs w:val="24"/>
        </w:rPr>
        <w:t xml:space="preserve"> deep dive sample to look back at individual’s to understand local trends in primary need classification changes. If there are local trends which cause concern, for the SEND Improvement Board to work with York SENCOs to build a collective understanding of approach to primary need classification.  </w:t>
      </w:r>
    </w:p>
    <w:p w14:paraId="1731738B" w14:textId="77777777" w:rsidR="00395EC4" w:rsidRPr="00EB4A49" w:rsidRDefault="00395EC4" w:rsidP="00E441D2">
      <w:pPr>
        <w:rPr>
          <w:rFonts w:asciiTheme="majorHAnsi" w:hAnsiTheme="majorHAnsi" w:cstheme="majorHAnsi"/>
          <w:sz w:val="24"/>
          <w:szCs w:val="24"/>
        </w:rPr>
      </w:pPr>
    </w:p>
    <w:p w14:paraId="7396317B" w14:textId="77777777" w:rsidR="00044E60" w:rsidRPr="00EB4A49" w:rsidRDefault="00044E60" w:rsidP="00044E60">
      <w:pPr>
        <w:pStyle w:val="Heading2"/>
        <w:rPr>
          <w:rFonts w:cstheme="majorHAnsi"/>
          <w:sz w:val="24"/>
          <w:szCs w:val="24"/>
        </w:rPr>
      </w:pPr>
      <w:bookmarkStart w:id="11" w:name="_Toc58575071"/>
      <w:r w:rsidRPr="00EB4A49">
        <w:rPr>
          <w:rFonts w:cstheme="majorHAnsi"/>
          <w:sz w:val="24"/>
          <w:szCs w:val="24"/>
        </w:rPr>
        <w:t>Additional need in early years</w:t>
      </w:r>
      <w:bookmarkEnd w:id="11"/>
      <w:r w:rsidRPr="00EB4A49">
        <w:rPr>
          <w:rFonts w:cstheme="majorHAnsi"/>
          <w:sz w:val="24"/>
          <w:szCs w:val="24"/>
        </w:rPr>
        <w:t xml:space="preserve"> </w:t>
      </w:r>
    </w:p>
    <w:p w14:paraId="63F53118" w14:textId="77777777" w:rsidR="00F56349" w:rsidRDefault="00C131A5" w:rsidP="00044E60">
      <w:pPr>
        <w:rPr>
          <w:rFonts w:asciiTheme="majorHAnsi" w:hAnsiTheme="majorHAnsi" w:cstheme="majorHAnsi"/>
          <w:sz w:val="24"/>
          <w:szCs w:val="24"/>
        </w:rPr>
      </w:pPr>
      <w:r w:rsidRPr="00EB4A49">
        <w:rPr>
          <w:rFonts w:asciiTheme="majorHAnsi" w:hAnsiTheme="majorHAnsi" w:cstheme="majorHAnsi"/>
          <w:sz w:val="24"/>
          <w:szCs w:val="24"/>
        </w:rPr>
        <w:t>In the summer term of 2020, 3</w:t>
      </w:r>
      <w:r w:rsidR="003942B9">
        <w:rPr>
          <w:rFonts w:asciiTheme="majorHAnsi" w:hAnsiTheme="majorHAnsi" w:cstheme="majorHAnsi"/>
          <w:sz w:val="24"/>
          <w:szCs w:val="24"/>
        </w:rPr>
        <w:t>,</w:t>
      </w:r>
      <w:r w:rsidRPr="00EB4A49">
        <w:rPr>
          <w:rFonts w:asciiTheme="majorHAnsi" w:hAnsiTheme="majorHAnsi" w:cstheme="majorHAnsi"/>
          <w:sz w:val="24"/>
          <w:szCs w:val="24"/>
        </w:rPr>
        <w:t>502</w:t>
      </w:r>
      <w:r w:rsidR="001075E3" w:rsidRPr="00EB4A49">
        <w:rPr>
          <w:rFonts w:asciiTheme="majorHAnsi" w:hAnsiTheme="majorHAnsi" w:cstheme="majorHAnsi"/>
          <w:sz w:val="24"/>
          <w:szCs w:val="24"/>
        </w:rPr>
        <w:t xml:space="preserve"> three, four, and five year olds </w:t>
      </w:r>
      <w:r w:rsidR="003942B9">
        <w:rPr>
          <w:rFonts w:asciiTheme="majorHAnsi" w:hAnsiTheme="majorHAnsi" w:cstheme="majorHAnsi"/>
          <w:sz w:val="24"/>
          <w:szCs w:val="24"/>
        </w:rPr>
        <w:t xml:space="preserve">were registered with an early years setting. </w:t>
      </w:r>
      <w:r w:rsidR="001075E3" w:rsidRPr="00EB4A49">
        <w:rPr>
          <w:rFonts w:asciiTheme="majorHAnsi" w:hAnsiTheme="majorHAnsi" w:cstheme="majorHAnsi"/>
          <w:sz w:val="24"/>
          <w:szCs w:val="24"/>
        </w:rPr>
        <w:t>Of these children</w:t>
      </w:r>
      <w:r w:rsidR="0017475F" w:rsidRPr="00EB4A49">
        <w:rPr>
          <w:rFonts w:asciiTheme="majorHAnsi" w:hAnsiTheme="majorHAnsi" w:cstheme="majorHAnsi"/>
          <w:sz w:val="24"/>
          <w:szCs w:val="24"/>
        </w:rPr>
        <w:t>, 3319 are also York residents, this is almo</w:t>
      </w:r>
      <w:r w:rsidR="003942B9">
        <w:rPr>
          <w:rFonts w:asciiTheme="majorHAnsi" w:hAnsiTheme="majorHAnsi" w:cstheme="majorHAnsi"/>
          <w:sz w:val="24"/>
          <w:szCs w:val="24"/>
        </w:rPr>
        <w:t xml:space="preserve">st all of York’s young children, and indicates that almost all York children take up the funding placement. </w:t>
      </w:r>
    </w:p>
    <w:p w14:paraId="506957D5" w14:textId="26F7D0FE" w:rsidR="003A679A" w:rsidRDefault="003A679A" w:rsidP="00044E60">
      <w:pPr>
        <w:rPr>
          <w:rFonts w:asciiTheme="majorHAnsi" w:hAnsiTheme="majorHAnsi" w:cstheme="majorHAnsi"/>
          <w:sz w:val="24"/>
          <w:szCs w:val="24"/>
        </w:rPr>
      </w:pPr>
      <w:r>
        <w:rPr>
          <w:rFonts w:asciiTheme="majorHAnsi" w:hAnsiTheme="majorHAnsi" w:cstheme="majorHAnsi"/>
          <w:sz w:val="24"/>
          <w:szCs w:val="24"/>
        </w:rPr>
        <w:t xml:space="preserve">The </w:t>
      </w:r>
      <w:r w:rsidR="00382D30">
        <w:rPr>
          <w:rFonts w:asciiTheme="majorHAnsi" w:hAnsiTheme="majorHAnsi" w:cstheme="majorHAnsi"/>
          <w:sz w:val="24"/>
          <w:szCs w:val="24"/>
        </w:rPr>
        <w:t>Specialist Early Years Teaching Team</w:t>
      </w:r>
      <w:r w:rsidR="00A42D0C">
        <w:rPr>
          <w:rStyle w:val="FootnoteReference"/>
          <w:rFonts w:asciiTheme="majorHAnsi" w:hAnsiTheme="majorHAnsi" w:cstheme="majorHAnsi"/>
          <w:sz w:val="24"/>
          <w:szCs w:val="24"/>
        </w:rPr>
        <w:footnoteReference w:id="22"/>
      </w:r>
      <w:r w:rsidR="00382D30">
        <w:rPr>
          <w:rFonts w:asciiTheme="majorHAnsi" w:hAnsiTheme="majorHAnsi" w:cstheme="majorHAnsi"/>
          <w:sz w:val="24"/>
          <w:szCs w:val="24"/>
        </w:rPr>
        <w:t xml:space="preserve"> </w:t>
      </w:r>
      <w:r w:rsidR="003942B9">
        <w:rPr>
          <w:rFonts w:asciiTheme="majorHAnsi" w:hAnsiTheme="majorHAnsi" w:cstheme="majorHAnsi"/>
          <w:sz w:val="24"/>
          <w:szCs w:val="24"/>
        </w:rPr>
        <w:t xml:space="preserve">supported </w:t>
      </w:r>
      <w:r>
        <w:rPr>
          <w:rFonts w:asciiTheme="majorHAnsi" w:hAnsiTheme="majorHAnsi" w:cstheme="majorHAnsi"/>
          <w:sz w:val="24"/>
          <w:szCs w:val="24"/>
        </w:rPr>
        <w:t>135 young children</w:t>
      </w:r>
      <w:r w:rsidR="003942B9">
        <w:rPr>
          <w:rFonts w:asciiTheme="majorHAnsi" w:hAnsiTheme="majorHAnsi" w:cstheme="majorHAnsi"/>
          <w:sz w:val="24"/>
          <w:szCs w:val="24"/>
        </w:rPr>
        <w:t xml:space="preserve"> in</w:t>
      </w:r>
      <w:r w:rsidR="00FD5075">
        <w:rPr>
          <w:rFonts w:asciiTheme="majorHAnsi" w:hAnsiTheme="majorHAnsi" w:cstheme="majorHAnsi"/>
          <w:sz w:val="24"/>
          <w:szCs w:val="24"/>
        </w:rPr>
        <w:t xml:space="preserve"> September 2020</w:t>
      </w:r>
      <w:r>
        <w:rPr>
          <w:rFonts w:asciiTheme="majorHAnsi" w:hAnsiTheme="majorHAnsi" w:cstheme="majorHAnsi"/>
          <w:sz w:val="24"/>
          <w:szCs w:val="24"/>
        </w:rPr>
        <w:t xml:space="preserve">. </w:t>
      </w:r>
      <w:r w:rsidR="00FD5075">
        <w:rPr>
          <w:rFonts w:asciiTheme="majorHAnsi" w:hAnsiTheme="majorHAnsi" w:cstheme="majorHAnsi"/>
          <w:sz w:val="24"/>
          <w:szCs w:val="24"/>
        </w:rPr>
        <w:t>This is 4% of all of York’s early years children</w:t>
      </w:r>
      <w:r w:rsidR="00900A26">
        <w:rPr>
          <w:rFonts w:asciiTheme="majorHAnsi" w:hAnsiTheme="majorHAnsi" w:cstheme="majorHAnsi"/>
          <w:sz w:val="24"/>
          <w:szCs w:val="24"/>
        </w:rPr>
        <w:t xml:space="preserve">, </w:t>
      </w:r>
      <w:r w:rsidR="00A42D0C">
        <w:rPr>
          <w:rFonts w:asciiTheme="majorHAnsi" w:hAnsiTheme="majorHAnsi" w:cstheme="majorHAnsi"/>
          <w:sz w:val="24"/>
          <w:szCs w:val="24"/>
        </w:rPr>
        <w:t>a small proportion comparative to key stage one</w:t>
      </w:r>
      <w:r w:rsidR="00900A26">
        <w:rPr>
          <w:rStyle w:val="FootnoteReference"/>
          <w:rFonts w:asciiTheme="majorHAnsi" w:hAnsiTheme="majorHAnsi" w:cstheme="majorHAnsi"/>
          <w:sz w:val="24"/>
          <w:szCs w:val="24"/>
        </w:rPr>
        <w:footnoteReference w:id="23"/>
      </w:r>
      <w:r w:rsidR="00A42D0C">
        <w:rPr>
          <w:rFonts w:asciiTheme="majorHAnsi" w:hAnsiTheme="majorHAnsi" w:cstheme="majorHAnsi"/>
          <w:sz w:val="24"/>
          <w:szCs w:val="24"/>
        </w:rPr>
        <w:t xml:space="preserve">. </w:t>
      </w:r>
      <w:r>
        <w:rPr>
          <w:rFonts w:asciiTheme="majorHAnsi" w:hAnsiTheme="majorHAnsi" w:cstheme="majorHAnsi"/>
          <w:sz w:val="24"/>
          <w:szCs w:val="24"/>
        </w:rPr>
        <w:t>Half of the children have a communication and interaction need type, and 70% are aged 3 and 4 years old.</w:t>
      </w:r>
      <w:r w:rsidR="00A42D0C">
        <w:rPr>
          <w:rFonts w:asciiTheme="majorHAnsi" w:hAnsiTheme="majorHAnsi" w:cstheme="majorHAnsi"/>
          <w:sz w:val="24"/>
          <w:szCs w:val="24"/>
        </w:rPr>
        <w:t xml:space="preserve"> </w:t>
      </w:r>
    </w:p>
    <w:p w14:paraId="745B78B7" w14:textId="77777777" w:rsidR="003A679A" w:rsidRDefault="003A679A" w:rsidP="00044E60">
      <w:pPr>
        <w:rPr>
          <w:rFonts w:asciiTheme="majorHAnsi" w:hAnsiTheme="majorHAnsi" w:cstheme="majorHAnsi"/>
          <w:sz w:val="24"/>
          <w:szCs w:val="24"/>
        </w:rPr>
      </w:pPr>
      <w:r>
        <w:rPr>
          <w:rFonts w:asciiTheme="majorHAnsi" w:hAnsiTheme="majorHAnsi" w:cstheme="majorHAnsi"/>
          <w:sz w:val="24"/>
          <w:szCs w:val="24"/>
        </w:rPr>
        <w:t xml:space="preserve">  </w:t>
      </w:r>
      <w:r>
        <w:rPr>
          <w:noProof/>
          <w:lang w:eastAsia="en-GB"/>
        </w:rPr>
        <w:drawing>
          <wp:inline distT="0" distB="0" distL="0" distR="0" wp14:anchorId="65E849E5" wp14:editId="70D82E3C">
            <wp:extent cx="4472326" cy="2426844"/>
            <wp:effectExtent l="0" t="0" r="444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8CF0EB" w14:textId="13B94C92" w:rsidR="00900A26" w:rsidRDefault="00900A26" w:rsidP="00044E60">
      <w:pPr>
        <w:rPr>
          <w:rFonts w:asciiTheme="majorHAnsi" w:hAnsiTheme="majorHAnsi" w:cstheme="majorHAnsi"/>
          <w:sz w:val="24"/>
          <w:szCs w:val="24"/>
        </w:rPr>
      </w:pPr>
      <w:r>
        <w:rPr>
          <w:rFonts w:asciiTheme="majorHAnsi" w:hAnsiTheme="majorHAnsi" w:cstheme="majorHAnsi"/>
          <w:sz w:val="24"/>
          <w:szCs w:val="24"/>
        </w:rPr>
        <w:t xml:space="preserve">Immediately apparent is the contrast between the numbers of young people aged 3-4 who are identified as having additional needs or SEND, </w:t>
      </w:r>
    </w:p>
    <w:p w14:paraId="41EC18CB" w14:textId="5D5AD43C" w:rsidR="00D3384D" w:rsidRDefault="00A42D0C" w:rsidP="00044E60">
      <w:pPr>
        <w:rPr>
          <w:rFonts w:asciiTheme="majorHAnsi" w:hAnsiTheme="majorHAnsi" w:cstheme="majorHAnsi"/>
          <w:sz w:val="24"/>
          <w:szCs w:val="24"/>
        </w:rPr>
      </w:pPr>
      <w:r>
        <w:rPr>
          <w:rFonts w:asciiTheme="majorHAnsi" w:hAnsiTheme="majorHAnsi" w:cstheme="majorHAnsi"/>
          <w:sz w:val="24"/>
          <w:szCs w:val="24"/>
        </w:rPr>
        <w:t>We know from parents who were interviewed as part of this project, that specialist early years support is valuable to many, and practitioners often work closely with individual parents. However, there is limited systematic feedback of the kind that could give a year-on-year service wide review. One example of emerging good practice is that th</w:t>
      </w:r>
      <w:r w:rsidR="00FD5075">
        <w:rPr>
          <w:rFonts w:asciiTheme="majorHAnsi" w:hAnsiTheme="majorHAnsi" w:cstheme="majorHAnsi"/>
          <w:sz w:val="24"/>
          <w:szCs w:val="24"/>
        </w:rPr>
        <w:t xml:space="preserve">e EPS sends a survey </w:t>
      </w:r>
      <w:r w:rsidR="00382D30">
        <w:rPr>
          <w:rFonts w:asciiTheme="majorHAnsi" w:hAnsiTheme="majorHAnsi" w:cstheme="majorHAnsi"/>
          <w:sz w:val="24"/>
          <w:szCs w:val="24"/>
        </w:rPr>
        <w:t>bi-</w:t>
      </w:r>
      <w:r w:rsidR="00FD5075">
        <w:rPr>
          <w:rFonts w:asciiTheme="majorHAnsi" w:hAnsiTheme="majorHAnsi" w:cstheme="majorHAnsi"/>
          <w:sz w:val="24"/>
          <w:szCs w:val="24"/>
        </w:rPr>
        <w:t>annually to its paren</w:t>
      </w:r>
      <w:r>
        <w:rPr>
          <w:rFonts w:asciiTheme="majorHAnsi" w:hAnsiTheme="majorHAnsi" w:cstheme="majorHAnsi"/>
          <w:sz w:val="24"/>
          <w:szCs w:val="24"/>
        </w:rPr>
        <w:t>ts,</w:t>
      </w:r>
      <w:r w:rsidR="007B250C">
        <w:rPr>
          <w:rFonts w:asciiTheme="majorHAnsi" w:hAnsiTheme="majorHAnsi" w:cstheme="majorHAnsi"/>
          <w:sz w:val="24"/>
          <w:szCs w:val="24"/>
        </w:rPr>
        <w:t xml:space="preserve"> however </w:t>
      </w:r>
      <w:r>
        <w:rPr>
          <w:rFonts w:asciiTheme="majorHAnsi" w:hAnsiTheme="majorHAnsi" w:cstheme="majorHAnsi"/>
          <w:sz w:val="24"/>
          <w:szCs w:val="24"/>
        </w:rPr>
        <w:t>on</w:t>
      </w:r>
      <w:r w:rsidR="00315BDB">
        <w:rPr>
          <w:rFonts w:asciiTheme="majorHAnsi" w:hAnsiTheme="majorHAnsi" w:cstheme="majorHAnsi"/>
          <w:sz w:val="24"/>
          <w:szCs w:val="24"/>
        </w:rPr>
        <w:t xml:space="preserve">ly 13 parents chose to take part in 2019. </w:t>
      </w:r>
    </w:p>
    <w:p w14:paraId="6A14D7E4" w14:textId="05402967" w:rsidR="007B250C" w:rsidRPr="00A42D0C" w:rsidRDefault="00A42D0C" w:rsidP="00044E60">
      <w:pPr>
        <w:rPr>
          <w:rFonts w:asciiTheme="majorHAnsi" w:hAnsiTheme="majorHAnsi" w:cstheme="majorHAnsi"/>
          <w:b/>
          <w:sz w:val="24"/>
          <w:szCs w:val="24"/>
        </w:rPr>
      </w:pPr>
      <w:r w:rsidRPr="00A42D0C">
        <w:rPr>
          <w:rFonts w:asciiTheme="majorHAnsi" w:hAnsiTheme="majorHAnsi" w:cstheme="majorHAnsi"/>
          <w:b/>
          <w:sz w:val="24"/>
          <w:szCs w:val="24"/>
        </w:rPr>
        <w:lastRenderedPageBreak/>
        <w:t>Recommendation: Introduce engaging systematic parent voice collection across the whole of the early years specialist support teams to support service evaluation</w:t>
      </w:r>
      <w:r>
        <w:rPr>
          <w:rFonts w:asciiTheme="majorHAnsi" w:hAnsiTheme="majorHAnsi" w:cstheme="majorHAnsi"/>
          <w:b/>
          <w:sz w:val="24"/>
          <w:szCs w:val="24"/>
        </w:rPr>
        <w:t xml:space="preserve"> and development, with a dual focus of parent experience and parent perception of child outcomes. </w:t>
      </w:r>
    </w:p>
    <w:p w14:paraId="4E421DF1" w14:textId="77777777" w:rsidR="00900A26" w:rsidRDefault="00900A26" w:rsidP="00044E60">
      <w:pPr>
        <w:rPr>
          <w:rFonts w:asciiTheme="majorHAnsi" w:hAnsiTheme="majorHAnsi" w:cstheme="majorHAnsi"/>
          <w:sz w:val="24"/>
          <w:szCs w:val="24"/>
        </w:rPr>
      </w:pPr>
    </w:p>
    <w:p w14:paraId="6555B32A" w14:textId="276E51BA" w:rsidR="003A679A" w:rsidRDefault="003A679A" w:rsidP="00044E60">
      <w:pPr>
        <w:rPr>
          <w:rFonts w:asciiTheme="majorHAnsi" w:hAnsiTheme="majorHAnsi" w:cstheme="majorHAnsi"/>
          <w:sz w:val="24"/>
          <w:szCs w:val="24"/>
        </w:rPr>
      </w:pPr>
      <w:r>
        <w:rPr>
          <w:rFonts w:asciiTheme="majorHAnsi" w:hAnsiTheme="majorHAnsi" w:cstheme="majorHAnsi"/>
          <w:sz w:val="24"/>
          <w:szCs w:val="24"/>
        </w:rPr>
        <w:t xml:space="preserve">Additional funding in early years </w:t>
      </w:r>
    </w:p>
    <w:p w14:paraId="2B60C7D7" w14:textId="1E5594C8" w:rsidR="005B290A" w:rsidRDefault="0017475F" w:rsidP="00C131A5">
      <w:pPr>
        <w:rPr>
          <w:rFonts w:asciiTheme="majorHAnsi" w:hAnsiTheme="majorHAnsi" w:cstheme="majorHAnsi"/>
          <w:sz w:val="24"/>
          <w:szCs w:val="24"/>
        </w:rPr>
      </w:pPr>
      <w:r w:rsidRPr="00EB4A49">
        <w:rPr>
          <w:rFonts w:asciiTheme="majorHAnsi" w:hAnsiTheme="majorHAnsi" w:cstheme="majorHAnsi"/>
          <w:sz w:val="24"/>
          <w:szCs w:val="24"/>
        </w:rPr>
        <w:t xml:space="preserve">706 (20%) </w:t>
      </w:r>
      <w:r w:rsidR="00F323E9" w:rsidRPr="00EB4A49">
        <w:rPr>
          <w:rFonts w:asciiTheme="majorHAnsi" w:hAnsiTheme="majorHAnsi" w:cstheme="majorHAnsi"/>
          <w:sz w:val="24"/>
          <w:szCs w:val="24"/>
        </w:rPr>
        <w:t>of</w:t>
      </w:r>
      <w:r w:rsidR="00FD5075">
        <w:rPr>
          <w:rFonts w:asciiTheme="majorHAnsi" w:hAnsiTheme="majorHAnsi" w:cstheme="majorHAnsi"/>
          <w:sz w:val="24"/>
          <w:szCs w:val="24"/>
        </w:rPr>
        <w:t xml:space="preserve"> the children who attend an EY setting in York </w:t>
      </w:r>
      <w:r w:rsidR="00A863CC">
        <w:rPr>
          <w:rFonts w:asciiTheme="majorHAnsi" w:hAnsiTheme="majorHAnsi" w:cstheme="majorHAnsi"/>
          <w:sz w:val="24"/>
          <w:szCs w:val="24"/>
        </w:rPr>
        <w:t>attract</w:t>
      </w:r>
      <w:r w:rsidR="00FD5075">
        <w:rPr>
          <w:rFonts w:asciiTheme="majorHAnsi" w:hAnsiTheme="majorHAnsi" w:cstheme="majorHAnsi"/>
          <w:sz w:val="24"/>
          <w:szCs w:val="24"/>
        </w:rPr>
        <w:t xml:space="preserve"> some </w:t>
      </w:r>
      <w:r w:rsidR="00C131A5" w:rsidRPr="00EB4A49">
        <w:rPr>
          <w:rFonts w:asciiTheme="majorHAnsi" w:hAnsiTheme="majorHAnsi" w:cstheme="majorHAnsi"/>
          <w:sz w:val="24"/>
          <w:szCs w:val="24"/>
        </w:rPr>
        <w:t>addi</w:t>
      </w:r>
      <w:r w:rsidR="007B250C">
        <w:rPr>
          <w:rFonts w:asciiTheme="majorHAnsi" w:hAnsiTheme="majorHAnsi" w:cstheme="majorHAnsi"/>
          <w:sz w:val="24"/>
          <w:szCs w:val="24"/>
        </w:rPr>
        <w:t xml:space="preserve">tional funding. </w:t>
      </w:r>
      <w:r w:rsidR="00A107FF">
        <w:rPr>
          <w:rFonts w:asciiTheme="majorHAnsi" w:hAnsiTheme="majorHAnsi" w:cstheme="majorHAnsi"/>
          <w:sz w:val="24"/>
          <w:szCs w:val="24"/>
        </w:rPr>
        <w:t xml:space="preserve">There are four types of funding, with only a few children incurring more than one type.  </w:t>
      </w:r>
      <w:r w:rsidR="007B250C">
        <w:rPr>
          <w:rFonts w:asciiTheme="majorHAnsi" w:hAnsiTheme="majorHAnsi" w:cstheme="majorHAnsi"/>
          <w:sz w:val="24"/>
          <w:szCs w:val="24"/>
        </w:rPr>
        <w:t>This funding is intended to be used by the setting.</w:t>
      </w:r>
    </w:p>
    <w:tbl>
      <w:tblPr>
        <w:tblW w:w="8500" w:type="dxa"/>
        <w:tblLook w:val="04A0" w:firstRow="1" w:lastRow="0" w:firstColumn="1" w:lastColumn="0" w:noHBand="0" w:noVBand="1"/>
      </w:tblPr>
      <w:tblGrid>
        <w:gridCol w:w="1838"/>
        <w:gridCol w:w="1701"/>
        <w:gridCol w:w="1701"/>
        <w:gridCol w:w="1701"/>
        <w:gridCol w:w="1559"/>
      </w:tblGrid>
      <w:tr w:rsidR="005B290A" w:rsidRPr="005B290A" w14:paraId="71B62D88" w14:textId="77777777" w:rsidTr="005B290A">
        <w:trPr>
          <w:trHeight w:val="28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F5959"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szCs w:val="24"/>
                <w:lang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57387CC"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Dep</w:t>
            </w:r>
            <w:r>
              <w:rPr>
                <w:rFonts w:ascii="Calibri" w:eastAsia="Times New Roman" w:hAnsi="Calibri" w:cs="Calibri"/>
                <w:color w:val="000000"/>
                <w:lang w:eastAsia="en-GB"/>
              </w:rPr>
              <w:t xml:space="preserve">rivation </w:t>
            </w:r>
            <w:r w:rsidRPr="005B290A">
              <w:rPr>
                <w:rFonts w:ascii="Calibri" w:eastAsia="Times New Roman" w:hAnsi="Calibri" w:cs="Calibri"/>
                <w:color w:val="000000"/>
                <w:lang w:eastAsia="en-GB"/>
              </w:rPr>
              <w:t xml:space="preserve"> Sup</w:t>
            </w:r>
            <w:r>
              <w:rPr>
                <w:rFonts w:ascii="Calibri" w:eastAsia="Times New Roman" w:hAnsi="Calibri" w:cs="Calibri"/>
                <w:color w:val="000000"/>
                <w:lang w:eastAsia="en-GB"/>
              </w:rPr>
              <w:t xml:space="preserve">plement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C2D5621" w14:textId="77777777" w:rsidR="005B290A" w:rsidRPr="005B290A" w:rsidRDefault="005B290A"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Early Years Pupil Premium</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4E1298"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Dis</w:t>
            </w:r>
            <w:r>
              <w:rPr>
                <w:rFonts w:ascii="Calibri" w:eastAsia="Times New Roman" w:hAnsi="Calibri" w:cs="Calibri"/>
                <w:color w:val="000000"/>
                <w:lang w:eastAsia="en-GB"/>
              </w:rPr>
              <w:t xml:space="preserve">ability </w:t>
            </w:r>
            <w:r w:rsidRPr="005B290A">
              <w:rPr>
                <w:rFonts w:ascii="Calibri" w:eastAsia="Times New Roman" w:hAnsi="Calibri" w:cs="Calibri"/>
                <w:color w:val="000000"/>
                <w:lang w:eastAsia="en-GB"/>
              </w:rPr>
              <w:t xml:space="preserve"> Acc</w:t>
            </w:r>
            <w:r>
              <w:rPr>
                <w:rFonts w:ascii="Calibri" w:eastAsia="Times New Roman" w:hAnsi="Calibri" w:cs="Calibri"/>
                <w:color w:val="000000"/>
                <w:lang w:eastAsia="en-GB"/>
              </w:rPr>
              <w:t>ess Fund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82C2C8F"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SEN Inc</w:t>
            </w:r>
            <w:r>
              <w:rPr>
                <w:rFonts w:ascii="Calibri" w:eastAsia="Times New Roman" w:hAnsi="Calibri" w:cs="Calibri"/>
                <w:color w:val="000000"/>
                <w:lang w:eastAsia="en-GB"/>
              </w:rPr>
              <w:t>lusion Fund</w:t>
            </w:r>
          </w:p>
        </w:tc>
      </w:tr>
      <w:tr w:rsidR="005B290A" w:rsidRPr="005B290A" w14:paraId="4C8000AB" w14:textId="77777777" w:rsidTr="005B290A">
        <w:trPr>
          <w:trHeight w:val="28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4FDB476"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Dep</w:t>
            </w:r>
            <w:r>
              <w:rPr>
                <w:rFonts w:ascii="Calibri" w:eastAsia="Times New Roman" w:hAnsi="Calibri" w:cs="Calibri"/>
                <w:color w:val="000000"/>
                <w:lang w:eastAsia="en-GB"/>
              </w:rPr>
              <w:t xml:space="preserve">rivation </w:t>
            </w:r>
            <w:r w:rsidRPr="005B290A">
              <w:rPr>
                <w:rFonts w:ascii="Calibri" w:eastAsia="Times New Roman" w:hAnsi="Calibri" w:cs="Calibri"/>
                <w:color w:val="000000"/>
                <w:lang w:eastAsia="en-GB"/>
              </w:rPr>
              <w:t xml:space="preserve"> Sup</w:t>
            </w:r>
            <w:r>
              <w:rPr>
                <w:rFonts w:ascii="Calibri" w:eastAsia="Times New Roman" w:hAnsi="Calibri" w:cs="Calibri"/>
                <w:color w:val="000000"/>
                <w:lang w:eastAsia="en-GB"/>
              </w:rPr>
              <w:t xml:space="preserve">plement </w:t>
            </w:r>
          </w:p>
        </w:tc>
        <w:tc>
          <w:tcPr>
            <w:tcW w:w="1701" w:type="dxa"/>
            <w:tcBorders>
              <w:top w:val="nil"/>
              <w:left w:val="nil"/>
              <w:bottom w:val="single" w:sz="4" w:space="0" w:color="auto"/>
              <w:right w:val="single" w:sz="4" w:space="0" w:color="auto"/>
            </w:tcBorders>
            <w:shd w:val="clear" w:color="auto" w:fill="auto"/>
            <w:noWrap/>
            <w:vAlign w:val="bottom"/>
            <w:hideMark/>
          </w:tcPr>
          <w:p w14:paraId="44010F06" w14:textId="77777777" w:rsidR="005B290A" w:rsidRPr="005B290A" w:rsidRDefault="00A107FF" w:rsidP="005B290A">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(452) </w:t>
            </w:r>
            <w:r w:rsidR="005B290A" w:rsidRPr="005B290A">
              <w:rPr>
                <w:rFonts w:ascii="Calibri" w:eastAsia="Times New Roman" w:hAnsi="Calibri" w:cs="Calibri"/>
                <w:b/>
                <w:bCs/>
                <w:color w:val="000000"/>
                <w:lang w:eastAsia="en-GB"/>
              </w:rPr>
              <w:t>13%</w:t>
            </w:r>
          </w:p>
        </w:tc>
        <w:tc>
          <w:tcPr>
            <w:tcW w:w="1701" w:type="dxa"/>
            <w:tcBorders>
              <w:top w:val="nil"/>
              <w:left w:val="nil"/>
              <w:bottom w:val="single" w:sz="4" w:space="0" w:color="auto"/>
              <w:right w:val="single" w:sz="4" w:space="0" w:color="auto"/>
            </w:tcBorders>
            <w:shd w:val="clear" w:color="auto" w:fill="auto"/>
            <w:noWrap/>
            <w:vAlign w:val="bottom"/>
            <w:hideMark/>
          </w:tcPr>
          <w:p w14:paraId="77AA3244"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14:paraId="575759C8"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14:paraId="4D1C29E4"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 </w:t>
            </w:r>
          </w:p>
        </w:tc>
      </w:tr>
      <w:tr w:rsidR="005B290A" w:rsidRPr="005B290A" w14:paraId="55E5395D" w14:textId="77777777" w:rsidTr="005B290A">
        <w:trPr>
          <w:trHeight w:val="28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5A68F17" w14:textId="77777777" w:rsidR="005B290A" w:rsidRPr="005B290A" w:rsidRDefault="005B290A"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Early Years Pupil Premium</w:t>
            </w:r>
          </w:p>
        </w:tc>
        <w:tc>
          <w:tcPr>
            <w:tcW w:w="1701" w:type="dxa"/>
            <w:tcBorders>
              <w:top w:val="nil"/>
              <w:left w:val="nil"/>
              <w:bottom w:val="single" w:sz="4" w:space="0" w:color="auto"/>
              <w:right w:val="single" w:sz="4" w:space="0" w:color="auto"/>
            </w:tcBorders>
            <w:shd w:val="clear" w:color="auto" w:fill="auto"/>
            <w:noWrap/>
            <w:vAlign w:val="bottom"/>
            <w:hideMark/>
          </w:tcPr>
          <w:p w14:paraId="41CC3F92"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14:paraId="53AF9230" w14:textId="77777777" w:rsidR="005B290A" w:rsidRPr="005B290A" w:rsidRDefault="00A107FF" w:rsidP="005B290A">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(325) </w:t>
            </w:r>
            <w:r w:rsidR="005B290A" w:rsidRPr="005B290A">
              <w:rPr>
                <w:rFonts w:ascii="Calibri" w:eastAsia="Times New Roman" w:hAnsi="Calibri" w:cs="Calibri"/>
                <w:b/>
                <w:bCs/>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bottom"/>
            <w:hideMark/>
          </w:tcPr>
          <w:p w14:paraId="11882697"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14:paraId="2F3D1898"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 </w:t>
            </w:r>
          </w:p>
        </w:tc>
      </w:tr>
      <w:tr w:rsidR="005B290A" w:rsidRPr="005B290A" w14:paraId="41166960" w14:textId="77777777" w:rsidTr="005B290A">
        <w:trPr>
          <w:trHeight w:val="28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D67CD3"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Dis</w:t>
            </w:r>
            <w:r>
              <w:rPr>
                <w:rFonts w:ascii="Calibri" w:eastAsia="Times New Roman" w:hAnsi="Calibri" w:cs="Calibri"/>
                <w:color w:val="000000"/>
                <w:lang w:eastAsia="en-GB"/>
              </w:rPr>
              <w:t>ability</w:t>
            </w:r>
            <w:r w:rsidRPr="005B290A">
              <w:rPr>
                <w:rFonts w:ascii="Calibri" w:eastAsia="Times New Roman" w:hAnsi="Calibri" w:cs="Calibri"/>
                <w:color w:val="000000"/>
                <w:lang w:eastAsia="en-GB"/>
              </w:rPr>
              <w:t xml:space="preserve"> Acc</w:t>
            </w:r>
            <w:r>
              <w:rPr>
                <w:rFonts w:ascii="Calibri" w:eastAsia="Times New Roman" w:hAnsi="Calibri" w:cs="Calibri"/>
                <w:color w:val="000000"/>
                <w:lang w:eastAsia="en-GB"/>
              </w:rPr>
              <w:t>ess</w:t>
            </w:r>
          </w:p>
        </w:tc>
        <w:tc>
          <w:tcPr>
            <w:tcW w:w="1701" w:type="dxa"/>
            <w:tcBorders>
              <w:top w:val="nil"/>
              <w:left w:val="nil"/>
              <w:bottom w:val="single" w:sz="4" w:space="0" w:color="auto"/>
              <w:right w:val="single" w:sz="4" w:space="0" w:color="auto"/>
            </w:tcBorders>
            <w:shd w:val="clear" w:color="auto" w:fill="auto"/>
            <w:noWrap/>
            <w:vAlign w:val="bottom"/>
            <w:hideMark/>
          </w:tcPr>
          <w:p w14:paraId="207F94E7"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0.2%</w:t>
            </w:r>
          </w:p>
        </w:tc>
        <w:tc>
          <w:tcPr>
            <w:tcW w:w="1701" w:type="dxa"/>
            <w:tcBorders>
              <w:top w:val="nil"/>
              <w:left w:val="nil"/>
              <w:bottom w:val="single" w:sz="4" w:space="0" w:color="auto"/>
              <w:right w:val="single" w:sz="4" w:space="0" w:color="auto"/>
            </w:tcBorders>
            <w:shd w:val="clear" w:color="auto" w:fill="auto"/>
            <w:noWrap/>
            <w:vAlign w:val="bottom"/>
            <w:hideMark/>
          </w:tcPr>
          <w:p w14:paraId="59802B1F"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0.2%</w:t>
            </w:r>
          </w:p>
        </w:tc>
        <w:tc>
          <w:tcPr>
            <w:tcW w:w="1701" w:type="dxa"/>
            <w:tcBorders>
              <w:top w:val="nil"/>
              <w:left w:val="nil"/>
              <w:bottom w:val="single" w:sz="4" w:space="0" w:color="auto"/>
              <w:right w:val="single" w:sz="4" w:space="0" w:color="auto"/>
            </w:tcBorders>
            <w:shd w:val="clear" w:color="auto" w:fill="auto"/>
            <w:noWrap/>
            <w:vAlign w:val="bottom"/>
            <w:hideMark/>
          </w:tcPr>
          <w:p w14:paraId="25032FDC" w14:textId="77777777" w:rsidR="005B290A" w:rsidRPr="005B290A" w:rsidRDefault="00A107FF" w:rsidP="005B290A">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(33) </w:t>
            </w:r>
            <w:r w:rsidR="005B290A" w:rsidRPr="005B290A">
              <w:rPr>
                <w:rFonts w:ascii="Calibri" w:eastAsia="Times New Roman" w:hAnsi="Calibri" w:cs="Calibri"/>
                <w:b/>
                <w:bCs/>
                <w:color w:val="000000"/>
                <w:lang w:eastAsia="en-GB"/>
              </w:rPr>
              <w:t>0.9%</w:t>
            </w:r>
          </w:p>
        </w:tc>
        <w:tc>
          <w:tcPr>
            <w:tcW w:w="1559" w:type="dxa"/>
            <w:tcBorders>
              <w:top w:val="nil"/>
              <w:left w:val="nil"/>
              <w:bottom w:val="single" w:sz="4" w:space="0" w:color="auto"/>
              <w:right w:val="single" w:sz="4" w:space="0" w:color="auto"/>
            </w:tcBorders>
            <w:shd w:val="clear" w:color="auto" w:fill="auto"/>
            <w:noWrap/>
            <w:vAlign w:val="bottom"/>
            <w:hideMark/>
          </w:tcPr>
          <w:p w14:paraId="064FDE79"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 </w:t>
            </w:r>
          </w:p>
        </w:tc>
      </w:tr>
      <w:tr w:rsidR="005B290A" w:rsidRPr="005B290A" w14:paraId="6FB7E1C1" w14:textId="77777777" w:rsidTr="005B290A">
        <w:trPr>
          <w:trHeight w:val="28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3D5622B"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SEN Inc</w:t>
            </w:r>
            <w:r>
              <w:rPr>
                <w:rFonts w:ascii="Calibri" w:eastAsia="Times New Roman" w:hAnsi="Calibri" w:cs="Calibri"/>
                <w:color w:val="000000"/>
                <w:lang w:eastAsia="en-GB"/>
              </w:rPr>
              <w:t>lusion Fund</w:t>
            </w:r>
          </w:p>
        </w:tc>
        <w:tc>
          <w:tcPr>
            <w:tcW w:w="1701" w:type="dxa"/>
            <w:tcBorders>
              <w:top w:val="nil"/>
              <w:left w:val="nil"/>
              <w:bottom w:val="single" w:sz="4" w:space="0" w:color="auto"/>
              <w:right w:val="single" w:sz="4" w:space="0" w:color="auto"/>
            </w:tcBorders>
            <w:shd w:val="clear" w:color="auto" w:fill="auto"/>
            <w:noWrap/>
            <w:vAlign w:val="bottom"/>
            <w:hideMark/>
          </w:tcPr>
          <w:p w14:paraId="7C23BA5F"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0.2%</w:t>
            </w:r>
          </w:p>
        </w:tc>
        <w:tc>
          <w:tcPr>
            <w:tcW w:w="1701" w:type="dxa"/>
            <w:tcBorders>
              <w:top w:val="nil"/>
              <w:left w:val="nil"/>
              <w:bottom w:val="single" w:sz="4" w:space="0" w:color="auto"/>
              <w:right w:val="single" w:sz="4" w:space="0" w:color="auto"/>
            </w:tcBorders>
            <w:shd w:val="clear" w:color="auto" w:fill="auto"/>
            <w:noWrap/>
            <w:vAlign w:val="bottom"/>
            <w:hideMark/>
          </w:tcPr>
          <w:p w14:paraId="01B1DBE8"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0.2%</w:t>
            </w:r>
          </w:p>
        </w:tc>
        <w:tc>
          <w:tcPr>
            <w:tcW w:w="1701" w:type="dxa"/>
            <w:tcBorders>
              <w:top w:val="nil"/>
              <w:left w:val="nil"/>
              <w:bottom w:val="single" w:sz="4" w:space="0" w:color="auto"/>
              <w:right w:val="single" w:sz="4" w:space="0" w:color="auto"/>
            </w:tcBorders>
            <w:shd w:val="clear" w:color="auto" w:fill="auto"/>
            <w:noWrap/>
            <w:vAlign w:val="bottom"/>
            <w:hideMark/>
          </w:tcPr>
          <w:p w14:paraId="1F4DFD78"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0.5%</w:t>
            </w:r>
          </w:p>
        </w:tc>
        <w:tc>
          <w:tcPr>
            <w:tcW w:w="1559" w:type="dxa"/>
            <w:tcBorders>
              <w:top w:val="nil"/>
              <w:left w:val="nil"/>
              <w:bottom w:val="single" w:sz="4" w:space="0" w:color="auto"/>
              <w:right w:val="single" w:sz="4" w:space="0" w:color="auto"/>
            </w:tcBorders>
            <w:shd w:val="clear" w:color="auto" w:fill="auto"/>
            <w:noWrap/>
            <w:vAlign w:val="bottom"/>
            <w:hideMark/>
          </w:tcPr>
          <w:p w14:paraId="0E01A231" w14:textId="77777777" w:rsidR="005B290A" w:rsidRPr="005B290A" w:rsidRDefault="00A107FF" w:rsidP="005B290A">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(38) </w:t>
            </w:r>
            <w:r w:rsidR="005B290A" w:rsidRPr="005B290A">
              <w:rPr>
                <w:rFonts w:ascii="Calibri" w:eastAsia="Times New Roman" w:hAnsi="Calibri" w:cs="Calibri"/>
                <w:b/>
                <w:bCs/>
                <w:color w:val="000000"/>
                <w:lang w:eastAsia="en-GB"/>
              </w:rPr>
              <w:t>1.1%</w:t>
            </w:r>
          </w:p>
        </w:tc>
      </w:tr>
    </w:tbl>
    <w:p w14:paraId="7C5C8C8A" w14:textId="77777777" w:rsidR="005B290A" w:rsidRPr="00EB4A49" w:rsidRDefault="005B290A" w:rsidP="00C131A5">
      <w:pPr>
        <w:rPr>
          <w:rFonts w:asciiTheme="majorHAnsi" w:hAnsiTheme="majorHAnsi" w:cstheme="majorHAnsi"/>
          <w:sz w:val="24"/>
          <w:szCs w:val="24"/>
        </w:rPr>
      </w:pPr>
    </w:p>
    <w:p w14:paraId="23C8AAD9" w14:textId="0431C211" w:rsidR="007B250C" w:rsidRDefault="007B250C" w:rsidP="0017475F">
      <w:pPr>
        <w:rPr>
          <w:rFonts w:asciiTheme="majorHAnsi" w:hAnsiTheme="majorHAnsi" w:cstheme="majorHAnsi"/>
          <w:sz w:val="24"/>
          <w:szCs w:val="24"/>
        </w:rPr>
      </w:pPr>
      <w:r>
        <w:rPr>
          <w:rFonts w:asciiTheme="majorHAnsi" w:hAnsiTheme="majorHAnsi" w:cstheme="majorHAnsi"/>
          <w:sz w:val="24"/>
          <w:szCs w:val="24"/>
        </w:rPr>
        <w:t xml:space="preserve">Only a small number of children are eligible for these funds, and this should not be seen as a comprehensive indication for SEND, there are many children in early years with SEND who do not incur this funding.  Despite this, it remains an important resource for settings to draw upon; usually where a case has been made for additional 1-1 time. </w:t>
      </w:r>
    </w:p>
    <w:p w14:paraId="62695467" w14:textId="3B35C7E3" w:rsidR="00A107FF" w:rsidRDefault="00900A26" w:rsidP="0017475F">
      <w:pPr>
        <w:rPr>
          <w:rFonts w:asciiTheme="majorHAnsi" w:hAnsiTheme="majorHAnsi" w:cstheme="majorHAnsi"/>
          <w:sz w:val="24"/>
          <w:szCs w:val="24"/>
        </w:rPr>
      </w:pPr>
      <w:r>
        <w:rPr>
          <w:rFonts w:asciiTheme="majorHAnsi" w:hAnsiTheme="majorHAnsi" w:cstheme="majorHAnsi"/>
          <w:sz w:val="24"/>
          <w:szCs w:val="24"/>
        </w:rPr>
        <w:t>As part of this funding</w:t>
      </w:r>
      <w:r w:rsidR="00A107FF">
        <w:rPr>
          <w:rFonts w:asciiTheme="majorHAnsi" w:hAnsiTheme="majorHAnsi" w:cstheme="majorHAnsi"/>
          <w:sz w:val="24"/>
          <w:szCs w:val="24"/>
        </w:rPr>
        <w:t xml:space="preserve"> settings are asked to describe use</w:t>
      </w:r>
      <w:r w:rsidR="007B250C">
        <w:rPr>
          <w:rFonts w:asciiTheme="majorHAnsi" w:hAnsiTheme="majorHAnsi" w:cstheme="majorHAnsi"/>
          <w:sz w:val="24"/>
          <w:szCs w:val="24"/>
        </w:rPr>
        <w:t xml:space="preserve"> of the fund</w:t>
      </w:r>
      <w:r w:rsidR="00A107FF">
        <w:rPr>
          <w:rFonts w:asciiTheme="majorHAnsi" w:hAnsiTheme="majorHAnsi" w:cstheme="majorHAnsi"/>
          <w:sz w:val="24"/>
          <w:szCs w:val="24"/>
        </w:rPr>
        <w:t xml:space="preserve"> against the child’s </w:t>
      </w:r>
      <w:r w:rsidR="007B250C">
        <w:rPr>
          <w:rFonts w:asciiTheme="majorHAnsi" w:hAnsiTheme="majorHAnsi" w:cstheme="majorHAnsi"/>
          <w:sz w:val="24"/>
          <w:szCs w:val="24"/>
        </w:rPr>
        <w:t>early year’s development goals, however this approach quite descriptive and linked only to the individual child. At present, there is no opportunity to evaluate the whole of the early years fund’s spending against outcomes for these children. A systematic eva</w:t>
      </w:r>
      <w:r>
        <w:rPr>
          <w:rFonts w:asciiTheme="majorHAnsi" w:hAnsiTheme="majorHAnsi" w:cstheme="majorHAnsi"/>
          <w:sz w:val="24"/>
          <w:szCs w:val="24"/>
        </w:rPr>
        <w:t xml:space="preserve">luation of the whole fund spend, and specialist support  input </w:t>
      </w:r>
      <w:r w:rsidR="007B250C">
        <w:rPr>
          <w:rFonts w:asciiTheme="majorHAnsi" w:hAnsiTheme="majorHAnsi" w:cstheme="majorHAnsi"/>
          <w:sz w:val="24"/>
          <w:szCs w:val="24"/>
        </w:rPr>
        <w:t>a</w:t>
      </w:r>
      <w:r>
        <w:rPr>
          <w:rFonts w:asciiTheme="majorHAnsi" w:hAnsiTheme="majorHAnsi" w:cstheme="majorHAnsi"/>
          <w:sz w:val="24"/>
          <w:szCs w:val="24"/>
        </w:rPr>
        <w:t xml:space="preserve">gainst </w:t>
      </w:r>
      <w:r w:rsidR="007B250C">
        <w:rPr>
          <w:rFonts w:asciiTheme="majorHAnsi" w:hAnsiTheme="majorHAnsi" w:cstheme="majorHAnsi"/>
          <w:sz w:val="24"/>
          <w:szCs w:val="24"/>
        </w:rPr>
        <w:t>children’s progress outcomes in early years and KS1 would be a valuable guide for future funding decisions and form a basis for evidence</w:t>
      </w:r>
      <w:r w:rsidR="00C066C6">
        <w:rPr>
          <w:rFonts w:asciiTheme="majorHAnsi" w:hAnsiTheme="majorHAnsi" w:cstheme="majorHAnsi"/>
          <w:sz w:val="24"/>
          <w:szCs w:val="24"/>
        </w:rPr>
        <w:t xml:space="preserve"> based commissioning decisions.</w:t>
      </w:r>
    </w:p>
    <w:p w14:paraId="42B37840" w14:textId="117688B7" w:rsidR="00C066C6" w:rsidRDefault="00DD2E2D" w:rsidP="0017475F">
      <w:pPr>
        <w:rPr>
          <w:rFonts w:asciiTheme="majorHAnsi" w:hAnsiTheme="majorHAnsi" w:cstheme="majorHAnsi"/>
          <w:b/>
          <w:sz w:val="24"/>
          <w:szCs w:val="24"/>
        </w:rPr>
      </w:pPr>
      <w:r>
        <w:rPr>
          <w:rFonts w:asciiTheme="majorHAnsi" w:hAnsiTheme="majorHAnsi" w:cstheme="majorHAnsi"/>
          <w:b/>
          <w:sz w:val="24"/>
          <w:szCs w:val="24"/>
        </w:rPr>
        <w:t>R</w:t>
      </w:r>
      <w:r w:rsidR="00A107FF" w:rsidRPr="00A107FF">
        <w:rPr>
          <w:rFonts w:asciiTheme="majorHAnsi" w:hAnsiTheme="majorHAnsi" w:cstheme="majorHAnsi"/>
          <w:b/>
          <w:sz w:val="24"/>
          <w:szCs w:val="24"/>
        </w:rPr>
        <w:t xml:space="preserve">ecommendation: </w:t>
      </w:r>
      <w:r w:rsidR="007B250C">
        <w:rPr>
          <w:rFonts w:asciiTheme="majorHAnsi" w:hAnsiTheme="majorHAnsi" w:cstheme="majorHAnsi"/>
          <w:b/>
          <w:sz w:val="24"/>
          <w:szCs w:val="24"/>
        </w:rPr>
        <w:t xml:space="preserve">To design an ambitious systematic evaluation that can be applied </w:t>
      </w:r>
      <w:r w:rsidR="00C066C6">
        <w:rPr>
          <w:rFonts w:asciiTheme="majorHAnsi" w:hAnsiTheme="majorHAnsi" w:cstheme="majorHAnsi"/>
          <w:b/>
          <w:sz w:val="24"/>
          <w:szCs w:val="24"/>
        </w:rPr>
        <w:t xml:space="preserve">equally </w:t>
      </w:r>
      <w:r w:rsidR="007B250C">
        <w:rPr>
          <w:rFonts w:asciiTheme="majorHAnsi" w:hAnsiTheme="majorHAnsi" w:cstheme="majorHAnsi"/>
          <w:b/>
          <w:sz w:val="24"/>
          <w:szCs w:val="24"/>
        </w:rPr>
        <w:t xml:space="preserve">across </w:t>
      </w:r>
      <w:r w:rsidR="00C066C6">
        <w:rPr>
          <w:rFonts w:asciiTheme="majorHAnsi" w:hAnsiTheme="majorHAnsi" w:cstheme="majorHAnsi"/>
          <w:b/>
          <w:sz w:val="24"/>
          <w:szCs w:val="24"/>
        </w:rPr>
        <w:t xml:space="preserve">various </w:t>
      </w:r>
      <w:r w:rsidR="007B250C">
        <w:rPr>
          <w:rFonts w:asciiTheme="majorHAnsi" w:hAnsiTheme="majorHAnsi" w:cstheme="majorHAnsi"/>
          <w:b/>
          <w:sz w:val="24"/>
          <w:szCs w:val="24"/>
        </w:rPr>
        <w:t xml:space="preserve">early years funding </w:t>
      </w:r>
      <w:r w:rsidR="00C066C6">
        <w:rPr>
          <w:rFonts w:asciiTheme="majorHAnsi" w:hAnsiTheme="majorHAnsi" w:cstheme="majorHAnsi"/>
          <w:b/>
          <w:sz w:val="24"/>
          <w:szCs w:val="24"/>
        </w:rPr>
        <w:t xml:space="preserve">and specialist teaching support that would be able to provide comparative analysis of impact on children’s progress using both parent insight and objective change.  </w:t>
      </w:r>
    </w:p>
    <w:p w14:paraId="61881A87" w14:textId="43629DB8" w:rsidR="005B290A" w:rsidRDefault="005B290A" w:rsidP="0017475F">
      <w:pPr>
        <w:rPr>
          <w:rFonts w:asciiTheme="majorHAnsi" w:hAnsiTheme="majorHAnsi" w:cstheme="majorHAnsi"/>
          <w:sz w:val="24"/>
          <w:szCs w:val="24"/>
        </w:rPr>
      </w:pPr>
      <w:r>
        <w:rPr>
          <w:rFonts w:asciiTheme="majorHAnsi" w:hAnsiTheme="majorHAnsi" w:cstheme="majorHAnsi"/>
          <w:sz w:val="24"/>
          <w:szCs w:val="24"/>
        </w:rPr>
        <w:t xml:space="preserve">The deprivation funding </w:t>
      </w:r>
      <w:r w:rsidR="00C066C6">
        <w:rPr>
          <w:rFonts w:asciiTheme="majorHAnsi" w:hAnsiTheme="majorHAnsi" w:cstheme="majorHAnsi"/>
          <w:sz w:val="24"/>
          <w:szCs w:val="24"/>
        </w:rPr>
        <w:t xml:space="preserve">is distinct from other early years funds as it is </w:t>
      </w:r>
      <w:r>
        <w:rPr>
          <w:rFonts w:asciiTheme="majorHAnsi" w:hAnsiTheme="majorHAnsi" w:cstheme="majorHAnsi"/>
          <w:sz w:val="24"/>
          <w:szCs w:val="24"/>
        </w:rPr>
        <w:t>incurred by a chi</w:t>
      </w:r>
      <w:r w:rsidR="00C066C6">
        <w:rPr>
          <w:rFonts w:asciiTheme="majorHAnsi" w:hAnsiTheme="majorHAnsi" w:cstheme="majorHAnsi"/>
          <w:sz w:val="24"/>
          <w:szCs w:val="24"/>
        </w:rPr>
        <w:t xml:space="preserve">ld based on their home postcode, and not directly linked to an identified need. </w:t>
      </w:r>
      <w:r>
        <w:rPr>
          <w:rFonts w:asciiTheme="majorHAnsi" w:hAnsiTheme="majorHAnsi" w:cstheme="majorHAnsi"/>
          <w:sz w:val="24"/>
          <w:szCs w:val="24"/>
        </w:rPr>
        <w:t xml:space="preserve"> </w:t>
      </w:r>
      <w:r w:rsidR="004F5E35">
        <w:rPr>
          <w:rFonts w:asciiTheme="majorHAnsi" w:hAnsiTheme="majorHAnsi" w:cstheme="majorHAnsi"/>
          <w:sz w:val="24"/>
          <w:szCs w:val="24"/>
        </w:rPr>
        <w:t xml:space="preserve">This is important </w:t>
      </w:r>
      <w:r w:rsidR="00C066C6">
        <w:rPr>
          <w:rFonts w:asciiTheme="majorHAnsi" w:hAnsiTheme="majorHAnsi" w:cstheme="majorHAnsi"/>
          <w:sz w:val="24"/>
          <w:szCs w:val="24"/>
        </w:rPr>
        <w:t xml:space="preserve">for SEND </w:t>
      </w:r>
      <w:r w:rsidR="004F5E35">
        <w:rPr>
          <w:rFonts w:asciiTheme="majorHAnsi" w:hAnsiTheme="majorHAnsi" w:cstheme="majorHAnsi"/>
          <w:sz w:val="24"/>
          <w:szCs w:val="24"/>
        </w:rPr>
        <w:t>because young children growing up in some areas are many times more likely to have a speech, language, and communication need than their peers growing up in other areas. The funding is intended to enrich some settings to support speech, language, and communication development. However, a</w:t>
      </w:r>
      <w:r>
        <w:rPr>
          <w:rFonts w:asciiTheme="majorHAnsi" w:hAnsiTheme="majorHAnsi" w:cstheme="majorHAnsi"/>
          <w:sz w:val="24"/>
          <w:szCs w:val="24"/>
        </w:rPr>
        <w:t xml:space="preserve"> comparison between the young children eligible for the deprivation fund and the Office of Nati</w:t>
      </w:r>
      <w:r w:rsidR="004F5E35">
        <w:rPr>
          <w:rFonts w:asciiTheme="majorHAnsi" w:hAnsiTheme="majorHAnsi" w:cstheme="majorHAnsi"/>
          <w:sz w:val="24"/>
          <w:szCs w:val="24"/>
        </w:rPr>
        <w:t>onal Statistics postcode model</w:t>
      </w:r>
      <w:r>
        <w:rPr>
          <w:rFonts w:asciiTheme="majorHAnsi" w:hAnsiTheme="majorHAnsi" w:cstheme="majorHAnsi"/>
          <w:sz w:val="24"/>
          <w:szCs w:val="24"/>
        </w:rPr>
        <w:t xml:space="preserve"> of deprivation shows that whilst the</w:t>
      </w:r>
      <w:r w:rsidR="004F5E35">
        <w:rPr>
          <w:rFonts w:asciiTheme="majorHAnsi" w:hAnsiTheme="majorHAnsi" w:cstheme="majorHAnsi"/>
          <w:sz w:val="24"/>
          <w:szCs w:val="24"/>
        </w:rPr>
        <w:t xml:space="preserve"> two are in b</w:t>
      </w:r>
      <w:r>
        <w:rPr>
          <w:rFonts w:asciiTheme="majorHAnsi" w:hAnsiTheme="majorHAnsi" w:cstheme="majorHAnsi"/>
          <w:sz w:val="24"/>
          <w:szCs w:val="24"/>
        </w:rPr>
        <w:t xml:space="preserve">road agreement, there are also quite a few </w:t>
      </w:r>
      <w:r>
        <w:rPr>
          <w:rFonts w:asciiTheme="majorHAnsi" w:hAnsiTheme="majorHAnsi" w:cstheme="majorHAnsi"/>
          <w:sz w:val="24"/>
          <w:szCs w:val="24"/>
        </w:rPr>
        <w:lastRenderedPageBreak/>
        <w:t xml:space="preserve">mismatches. With some young children in more deprived areas not incurring the funding, and some young children in more affluent areas incurring the funding. </w:t>
      </w:r>
      <w:r w:rsidR="004F5E35">
        <w:rPr>
          <w:rFonts w:asciiTheme="majorHAnsi" w:hAnsiTheme="majorHAnsi" w:cstheme="majorHAnsi"/>
          <w:sz w:val="24"/>
          <w:szCs w:val="24"/>
        </w:rPr>
        <w:t xml:space="preserve">This is important, as it indicates the funding is not sufficiently targeted to the children living in more deprived areas, and therefore not being passed on to the settings these children attend. </w:t>
      </w:r>
    </w:p>
    <w:tbl>
      <w:tblPr>
        <w:tblW w:w="9634" w:type="dxa"/>
        <w:tblLook w:val="04A0" w:firstRow="1" w:lastRow="0" w:firstColumn="1" w:lastColumn="0" w:noHBand="0" w:noVBand="1"/>
      </w:tblPr>
      <w:tblGrid>
        <w:gridCol w:w="2263"/>
        <w:gridCol w:w="1560"/>
        <w:gridCol w:w="1134"/>
        <w:gridCol w:w="1417"/>
        <w:gridCol w:w="1418"/>
        <w:gridCol w:w="1842"/>
      </w:tblGrid>
      <w:tr w:rsidR="004F5E35" w:rsidRPr="005B290A" w14:paraId="0D343422" w14:textId="77777777" w:rsidTr="00E14FDE">
        <w:trPr>
          <w:trHeight w:val="28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EA348" w14:textId="77777777" w:rsidR="004F5E35" w:rsidRPr="005B290A" w:rsidRDefault="004F5E35" w:rsidP="005B290A">
            <w:pPr>
              <w:spacing w:after="0" w:line="240" w:lineRule="auto"/>
              <w:rPr>
                <w:rFonts w:ascii="Calibri" w:eastAsia="Times New Roman" w:hAnsi="Calibri" w:cs="Calibri"/>
                <w:color w:val="000000"/>
                <w:lang w:eastAsia="en-GB"/>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tcPr>
          <w:p w14:paraId="587ACCC2" w14:textId="77777777" w:rsidR="004F5E35" w:rsidRPr="005B290A" w:rsidRDefault="004F5E35"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All young children </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tcPr>
          <w:p w14:paraId="7A0E12E1" w14:textId="77777777" w:rsidR="004F5E35" w:rsidRPr="005B290A" w:rsidRDefault="004F5E35"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Young children receiving deprivation supplement </w:t>
            </w:r>
          </w:p>
        </w:tc>
        <w:tc>
          <w:tcPr>
            <w:tcW w:w="1842" w:type="dxa"/>
            <w:vMerge w:val="restart"/>
            <w:tcBorders>
              <w:top w:val="single" w:sz="4" w:space="0" w:color="auto"/>
              <w:left w:val="nil"/>
              <w:right w:val="single" w:sz="4" w:space="0" w:color="auto"/>
            </w:tcBorders>
            <w:shd w:val="clear" w:color="auto" w:fill="auto"/>
            <w:noWrap/>
            <w:vAlign w:val="bottom"/>
          </w:tcPr>
          <w:p w14:paraId="08F72ADE" w14:textId="77777777" w:rsidR="004F5E35" w:rsidRPr="005B290A" w:rsidRDefault="004F5E35"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Total receiving deprivation supplement as % of peers in deprivation decile</w:t>
            </w:r>
          </w:p>
        </w:tc>
      </w:tr>
      <w:tr w:rsidR="004F5E35" w:rsidRPr="005B290A" w14:paraId="4842C842" w14:textId="77777777" w:rsidTr="00E14FDE">
        <w:trPr>
          <w:trHeight w:val="28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0B9A5" w14:textId="77777777" w:rsidR="004F5E35" w:rsidRPr="005B290A" w:rsidRDefault="004F5E35"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ONS deprivation scores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A9EB8BF" w14:textId="77777777" w:rsidR="004F5E35" w:rsidRPr="005B290A" w:rsidRDefault="004F5E35"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Number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224E01" w14:textId="77777777" w:rsidR="004F5E35" w:rsidRPr="005B290A" w:rsidRDefault="004F5E35" w:rsidP="004F5E3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As % of all children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17554E" w14:textId="77777777" w:rsidR="004F5E35" w:rsidRPr="005B290A" w:rsidRDefault="004F5E35" w:rsidP="005B29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Number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3305C1D" w14:textId="77777777" w:rsidR="004F5E35" w:rsidRPr="005B290A" w:rsidRDefault="004F5E35" w:rsidP="004F5E3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As % of cohort </w:t>
            </w:r>
          </w:p>
        </w:tc>
        <w:tc>
          <w:tcPr>
            <w:tcW w:w="1842" w:type="dxa"/>
            <w:vMerge/>
            <w:tcBorders>
              <w:left w:val="nil"/>
              <w:bottom w:val="single" w:sz="4" w:space="0" w:color="auto"/>
              <w:right w:val="single" w:sz="4" w:space="0" w:color="auto"/>
            </w:tcBorders>
            <w:shd w:val="clear" w:color="auto" w:fill="auto"/>
            <w:noWrap/>
            <w:vAlign w:val="bottom"/>
            <w:hideMark/>
          </w:tcPr>
          <w:p w14:paraId="214AA904" w14:textId="77777777" w:rsidR="004F5E35" w:rsidRPr="005B290A" w:rsidRDefault="004F5E35" w:rsidP="005B290A">
            <w:pPr>
              <w:spacing w:after="0" w:line="240" w:lineRule="auto"/>
              <w:rPr>
                <w:rFonts w:ascii="Calibri" w:eastAsia="Times New Roman" w:hAnsi="Calibri" w:cs="Calibri"/>
                <w:color w:val="000000"/>
                <w:lang w:eastAsia="en-GB"/>
              </w:rPr>
            </w:pPr>
          </w:p>
        </w:tc>
      </w:tr>
      <w:tr w:rsidR="005B290A" w:rsidRPr="005B290A" w14:paraId="5349BF33"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5096298" w14:textId="77777777" w:rsidR="005B290A" w:rsidRPr="005B290A" w:rsidRDefault="005B290A" w:rsidP="002F2954">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(most deprived) 1</w:t>
            </w:r>
          </w:p>
        </w:tc>
        <w:tc>
          <w:tcPr>
            <w:tcW w:w="1560" w:type="dxa"/>
            <w:tcBorders>
              <w:top w:val="nil"/>
              <w:left w:val="nil"/>
              <w:bottom w:val="single" w:sz="4" w:space="0" w:color="auto"/>
              <w:right w:val="single" w:sz="4" w:space="0" w:color="auto"/>
            </w:tcBorders>
            <w:shd w:val="clear" w:color="auto" w:fill="auto"/>
            <w:noWrap/>
            <w:vAlign w:val="bottom"/>
            <w:hideMark/>
          </w:tcPr>
          <w:p w14:paraId="14183A29"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41</w:t>
            </w:r>
          </w:p>
        </w:tc>
        <w:tc>
          <w:tcPr>
            <w:tcW w:w="1134" w:type="dxa"/>
            <w:tcBorders>
              <w:top w:val="nil"/>
              <w:left w:val="nil"/>
              <w:bottom w:val="single" w:sz="4" w:space="0" w:color="auto"/>
              <w:right w:val="single" w:sz="4" w:space="0" w:color="auto"/>
            </w:tcBorders>
            <w:shd w:val="clear" w:color="auto" w:fill="auto"/>
            <w:noWrap/>
            <w:vAlign w:val="bottom"/>
            <w:hideMark/>
          </w:tcPr>
          <w:p w14:paraId="007C01AD"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305907F7"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26</w:t>
            </w:r>
          </w:p>
        </w:tc>
        <w:tc>
          <w:tcPr>
            <w:tcW w:w="1418" w:type="dxa"/>
            <w:tcBorders>
              <w:top w:val="nil"/>
              <w:left w:val="nil"/>
              <w:bottom w:val="single" w:sz="4" w:space="0" w:color="auto"/>
              <w:right w:val="single" w:sz="4" w:space="0" w:color="auto"/>
            </w:tcBorders>
            <w:shd w:val="clear" w:color="auto" w:fill="auto"/>
            <w:noWrap/>
            <w:vAlign w:val="bottom"/>
            <w:hideMark/>
          </w:tcPr>
          <w:p w14:paraId="62935876"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6%</w:t>
            </w:r>
          </w:p>
        </w:tc>
        <w:tc>
          <w:tcPr>
            <w:tcW w:w="1842" w:type="dxa"/>
            <w:tcBorders>
              <w:top w:val="nil"/>
              <w:left w:val="nil"/>
              <w:bottom w:val="single" w:sz="4" w:space="0" w:color="auto"/>
              <w:right w:val="single" w:sz="4" w:space="0" w:color="auto"/>
            </w:tcBorders>
            <w:shd w:val="clear" w:color="auto" w:fill="auto"/>
            <w:noWrap/>
            <w:vAlign w:val="bottom"/>
            <w:hideMark/>
          </w:tcPr>
          <w:p w14:paraId="49B58204"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63%</w:t>
            </w:r>
          </w:p>
        </w:tc>
      </w:tr>
      <w:tr w:rsidR="005B290A" w:rsidRPr="005B290A" w14:paraId="0424CE1D"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F38E902"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2</w:t>
            </w:r>
          </w:p>
        </w:tc>
        <w:tc>
          <w:tcPr>
            <w:tcW w:w="1560" w:type="dxa"/>
            <w:tcBorders>
              <w:top w:val="nil"/>
              <w:left w:val="nil"/>
              <w:bottom w:val="single" w:sz="4" w:space="0" w:color="auto"/>
              <w:right w:val="single" w:sz="4" w:space="0" w:color="auto"/>
            </w:tcBorders>
            <w:shd w:val="clear" w:color="auto" w:fill="auto"/>
            <w:noWrap/>
            <w:vAlign w:val="bottom"/>
            <w:hideMark/>
          </w:tcPr>
          <w:p w14:paraId="554FD7A1"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167</w:t>
            </w:r>
          </w:p>
        </w:tc>
        <w:tc>
          <w:tcPr>
            <w:tcW w:w="1134" w:type="dxa"/>
            <w:tcBorders>
              <w:top w:val="nil"/>
              <w:left w:val="nil"/>
              <w:bottom w:val="single" w:sz="4" w:space="0" w:color="auto"/>
              <w:right w:val="single" w:sz="4" w:space="0" w:color="auto"/>
            </w:tcBorders>
            <w:shd w:val="clear" w:color="auto" w:fill="auto"/>
            <w:noWrap/>
            <w:vAlign w:val="bottom"/>
            <w:hideMark/>
          </w:tcPr>
          <w:p w14:paraId="73101686"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4B3D071E"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145</w:t>
            </w:r>
          </w:p>
        </w:tc>
        <w:tc>
          <w:tcPr>
            <w:tcW w:w="1418" w:type="dxa"/>
            <w:tcBorders>
              <w:top w:val="nil"/>
              <w:left w:val="nil"/>
              <w:bottom w:val="single" w:sz="4" w:space="0" w:color="auto"/>
              <w:right w:val="single" w:sz="4" w:space="0" w:color="auto"/>
            </w:tcBorders>
            <w:shd w:val="clear" w:color="auto" w:fill="auto"/>
            <w:noWrap/>
            <w:vAlign w:val="bottom"/>
            <w:hideMark/>
          </w:tcPr>
          <w:p w14:paraId="7F46EE39"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32%</w:t>
            </w:r>
          </w:p>
        </w:tc>
        <w:tc>
          <w:tcPr>
            <w:tcW w:w="1842" w:type="dxa"/>
            <w:tcBorders>
              <w:top w:val="nil"/>
              <w:left w:val="nil"/>
              <w:bottom w:val="single" w:sz="4" w:space="0" w:color="auto"/>
              <w:right w:val="single" w:sz="4" w:space="0" w:color="auto"/>
            </w:tcBorders>
            <w:shd w:val="clear" w:color="auto" w:fill="auto"/>
            <w:noWrap/>
            <w:vAlign w:val="bottom"/>
            <w:hideMark/>
          </w:tcPr>
          <w:p w14:paraId="5F2E093A"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87%</w:t>
            </w:r>
          </w:p>
        </w:tc>
      </w:tr>
      <w:tr w:rsidR="005B290A" w:rsidRPr="005B290A" w14:paraId="492BAC2E"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303F26C"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w:t>
            </w:r>
          </w:p>
        </w:tc>
        <w:tc>
          <w:tcPr>
            <w:tcW w:w="1560" w:type="dxa"/>
            <w:tcBorders>
              <w:top w:val="nil"/>
              <w:left w:val="nil"/>
              <w:bottom w:val="single" w:sz="4" w:space="0" w:color="auto"/>
              <w:right w:val="single" w:sz="4" w:space="0" w:color="auto"/>
            </w:tcBorders>
            <w:shd w:val="clear" w:color="auto" w:fill="auto"/>
            <w:noWrap/>
            <w:vAlign w:val="bottom"/>
            <w:hideMark/>
          </w:tcPr>
          <w:p w14:paraId="1977E271"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343</w:t>
            </w:r>
          </w:p>
        </w:tc>
        <w:tc>
          <w:tcPr>
            <w:tcW w:w="1134" w:type="dxa"/>
            <w:tcBorders>
              <w:top w:val="nil"/>
              <w:left w:val="nil"/>
              <w:bottom w:val="single" w:sz="4" w:space="0" w:color="auto"/>
              <w:right w:val="single" w:sz="4" w:space="0" w:color="auto"/>
            </w:tcBorders>
            <w:shd w:val="clear" w:color="auto" w:fill="auto"/>
            <w:noWrap/>
            <w:vAlign w:val="bottom"/>
            <w:hideMark/>
          </w:tcPr>
          <w:p w14:paraId="2736CE49"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10%</w:t>
            </w:r>
          </w:p>
        </w:tc>
        <w:tc>
          <w:tcPr>
            <w:tcW w:w="1417" w:type="dxa"/>
            <w:tcBorders>
              <w:top w:val="nil"/>
              <w:left w:val="nil"/>
              <w:bottom w:val="single" w:sz="4" w:space="0" w:color="auto"/>
              <w:right w:val="single" w:sz="4" w:space="0" w:color="auto"/>
            </w:tcBorders>
            <w:shd w:val="clear" w:color="auto" w:fill="auto"/>
            <w:noWrap/>
            <w:vAlign w:val="bottom"/>
            <w:hideMark/>
          </w:tcPr>
          <w:p w14:paraId="7C949A10"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169</w:t>
            </w:r>
          </w:p>
        </w:tc>
        <w:tc>
          <w:tcPr>
            <w:tcW w:w="1418" w:type="dxa"/>
            <w:tcBorders>
              <w:top w:val="nil"/>
              <w:left w:val="nil"/>
              <w:bottom w:val="single" w:sz="4" w:space="0" w:color="auto"/>
              <w:right w:val="single" w:sz="4" w:space="0" w:color="auto"/>
            </w:tcBorders>
            <w:shd w:val="clear" w:color="auto" w:fill="auto"/>
            <w:noWrap/>
            <w:vAlign w:val="bottom"/>
            <w:hideMark/>
          </w:tcPr>
          <w:p w14:paraId="6BE745F4"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37%</w:t>
            </w:r>
          </w:p>
        </w:tc>
        <w:tc>
          <w:tcPr>
            <w:tcW w:w="1842" w:type="dxa"/>
            <w:tcBorders>
              <w:top w:val="nil"/>
              <w:left w:val="nil"/>
              <w:bottom w:val="single" w:sz="4" w:space="0" w:color="auto"/>
              <w:right w:val="single" w:sz="4" w:space="0" w:color="auto"/>
            </w:tcBorders>
            <w:shd w:val="clear" w:color="auto" w:fill="auto"/>
            <w:noWrap/>
            <w:vAlign w:val="bottom"/>
            <w:hideMark/>
          </w:tcPr>
          <w:p w14:paraId="2273A272"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49%</w:t>
            </w:r>
          </w:p>
        </w:tc>
      </w:tr>
      <w:tr w:rsidR="005B290A" w:rsidRPr="005B290A" w14:paraId="2360A893"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B794677"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4</w:t>
            </w:r>
          </w:p>
        </w:tc>
        <w:tc>
          <w:tcPr>
            <w:tcW w:w="1560" w:type="dxa"/>
            <w:tcBorders>
              <w:top w:val="nil"/>
              <w:left w:val="nil"/>
              <w:bottom w:val="single" w:sz="4" w:space="0" w:color="auto"/>
              <w:right w:val="single" w:sz="4" w:space="0" w:color="auto"/>
            </w:tcBorders>
            <w:shd w:val="clear" w:color="auto" w:fill="auto"/>
            <w:noWrap/>
            <w:vAlign w:val="bottom"/>
            <w:hideMark/>
          </w:tcPr>
          <w:p w14:paraId="66911054"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662C6332"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4%</w:t>
            </w:r>
          </w:p>
        </w:tc>
        <w:tc>
          <w:tcPr>
            <w:tcW w:w="1417" w:type="dxa"/>
            <w:tcBorders>
              <w:top w:val="nil"/>
              <w:left w:val="nil"/>
              <w:bottom w:val="single" w:sz="4" w:space="0" w:color="auto"/>
              <w:right w:val="single" w:sz="4" w:space="0" w:color="auto"/>
            </w:tcBorders>
            <w:shd w:val="clear" w:color="auto" w:fill="auto"/>
            <w:noWrap/>
            <w:vAlign w:val="bottom"/>
            <w:hideMark/>
          </w:tcPr>
          <w:p w14:paraId="4FE65898"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8</w:t>
            </w:r>
          </w:p>
        </w:tc>
        <w:tc>
          <w:tcPr>
            <w:tcW w:w="1418" w:type="dxa"/>
            <w:tcBorders>
              <w:top w:val="nil"/>
              <w:left w:val="nil"/>
              <w:bottom w:val="single" w:sz="4" w:space="0" w:color="auto"/>
              <w:right w:val="single" w:sz="4" w:space="0" w:color="auto"/>
            </w:tcBorders>
            <w:shd w:val="clear" w:color="auto" w:fill="auto"/>
            <w:noWrap/>
            <w:vAlign w:val="bottom"/>
            <w:hideMark/>
          </w:tcPr>
          <w:p w14:paraId="52E19A7B"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2%</w:t>
            </w:r>
          </w:p>
        </w:tc>
        <w:tc>
          <w:tcPr>
            <w:tcW w:w="1842" w:type="dxa"/>
            <w:tcBorders>
              <w:top w:val="nil"/>
              <w:left w:val="nil"/>
              <w:bottom w:val="single" w:sz="4" w:space="0" w:color="auto"/>
              <w:right w:val="single" w:sz="4" w:space="0" w:color="auto"/>
            </w:tcBorders>
            <w:shd w:val="clear" w:color="auto" w:fill="auto"/>
            <w:noWrap/>
            <w:vAlign w:val="bottom"/>
            <w:hideMark/>
          </w:tcPr>
          <w:p w14:paraId="33F043AA"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7%</w:t>
            </w:r>
          </w:p>
        </w:tc>
      </w:tr>
      <w:tr w:rsidR="005B290A" w:rsidRPr="005B290A" w14:paraId="785C2608"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E2FE4BF"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5</w:t>
            </w:r>
          </w:p>
        </w:tc>
        <w:tc>
          <w:tcPr>
            <w:tcW w:w="1560" w:type="dxa"/>
            <w:tcBorders>
              <w:top w:val="nil"/>
              <w:left w:val="nil"/>
              <w:bottom w:val="single" w:sz="4" w:space="0" w:color="auto"/>
              <w:right w:val="single" w:sz="4" w:space="0" w:color="auto"/>
            </w:tcBorders>
            <w:shd w:val="clear" w:color="auto" w:fill="auto"/>
            <w:noWrap/>
            <w:vAlign w:val="bottom"/>
            <w:hideMark/>
          </w:tcPr>
          <w:p w14:paraId="1E6748F5"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118</w:t>
            </w:r>
          </w:p>
        </w:tc>
        <w:tc>
          <w:tcPr>
            <w:tcW w:w="1134" w:type="dxa"/>
            <w:tcBorders>
              <w:top w:val="nil"/>
              <w:left w:val="nil"/>
              <w:bottom w:val="single" w:sz="4" w:space="0" w:color="auto"/>
              <w:right w:val="single" w:sz="4" w:space="0" w:color="auto"/>
            </w:tcBorders>
            <w:shd w:val="clear" w:color="auto" w:fill="auto"/>
            <w:noWrap/>
            <w:vAlign w:val="bottom"/>
            <w:hideMark/>
          </w:tcPr>
          <w:p w14:paraId="7B66A31C"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4%</w:t>
            </w:r>
          </w:p>
        </w:tc>
        <w:tc>
          <w:tcPr>
            <w:tcW w:w="1417" w:type="dxa"/>
            <w:tcBorders>
              <w:top w:val="nil"/>
              <w:left w:val="nil"/>
              <w:bottom w:val="single" w:sz="4" w:space="0" w:color="auto"/>
              <w:right w:val="single" w:sz="4" w:space="0" w:color="auto"/>
            </w:tcBorders>
            <w:shd w:val="clear" w:color="auto" w:fill="auto"/>
            <w:noWrap/>
            <w:vAlign w:val="bottom"/>
            <w:hideMark/>
          </w:tcPr>
          <w:p w14:paraId="2B8C6DA6"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557322D"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7%</w:t>
            </w:r>
          </w:p>
        </w:tc>
        <w:tc>
          <w:tcPr>
            <w:tcW w:w="1842" w:type="dxa"/>
            <w:tcBorders>
              <w:top w:val="nil"/>
              <w:left w:val="nil"/>
              <w:bottom w:val="single" w:sz="4" w:space="0" w:color="auto"/>
              <w:right w:val="single" w:sz="4" w:space="0" w:color="auto"/>
            </w:tcBorders>
            <w:shd w:val="clear" w:color="auto" w:fill="auto"/>
            <w:noWrap/>
            <w:vAlign w:val="bottom"/>
            <w:hideMark/>
          </w:tcPr>
          <w:p w14:paraId="3D2CBD04"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25%</w:t>
            </w:r>
          </w:p>
        </w:tc>
      </w:tr>
      <w:tr w:rsidR="005B290A" w:rsidRPr="005B290A" w14:paraId="6133A2F6"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22BEA1C"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6</w:t>
            </w:r>
          </w:p>
        </w:tc>
        <w:tc>
          <w:tcPr>
            <w:tcW w:w="1560" w:type="dxa"/>
            <w:tcBorders>
              <w:top w:val="nil"/>
              <w:left w:val="nil"/>
              <w:bottom w:val="single" w:sz="4" w:space="0" w:color="auto"/>
              <w:right w:val="single" w:sz="4" w:space="0" w:color="auto"/>
            </w:tcBorders>
            <w:shd w:val="clear" w:color="auto" w:fill="auto"/>
            <w:noWrap/>
            <w:vAlign w:val="bottom"/>
            <w:hideMark/>
          </w:tcPr>
          <w:p w14:paraId="69C0E88B"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262</w:t>
            </w:r>
          </w:p>
        </w:tc>
        <w:tc>
          <w:tcPr>
            <w:tcW w:w="1134" w:type="dxa"/>
            <w:tcBorders>
              <w:top w:val="nil"/>
              <w:left w:val="nil"/>
              <w:bottom w:val="single" w:sz="4" w:space="0" w:color="auto"/>
              <w:right w:val="single" w:sz="4" w:space="0" w:color="auto"/>
            </w:tcBorders>
            <w:shd w:val="clear" w:color="auto" w:fill="auto"/>
            <w:noWrap/>
            <w:vAlign w:val="bottom"/>
            <w:hideMark/>
          </w:tcPr>
          <w:p w14:paraId="28A61B6E"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077709E8"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32</w:t>
            </w:r>
          </w:p>
        </w:tc>
        <w:tc>
          <w:tcPr>
            <w:tcW w:w="1418" w:type="dxa"/>
            <w:tcBorders>
              <w:top w:val="nil"/>
              <w:left w:val="nil"/>
              <w:bottom w:val="single" w:sz="4" w:space="0" w:color="auto"/>
              <w:right w:val="single" w:sz="4" w:space="0" w:color="auto"/>
            </w:tcBorders>
            <w:shd w:val="clear" w:color="auto" w:fill="auto"/>
            <w:noWrap/>
            <w:vAlign w:val="bottom"/>
            <w:hideMark/>
          </w:tcPr>
          <w:p w14:paraId="7CC3AC92"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7%</w:t>
            </w:r>
          </w:p>
        </w:tc>
        <w:tc>
          <w:tcPr>
            <w:tcW w:w="1842" w:type="dxa"/>
            <w:tcBorders>
              <w:top w:val="nil"/>
              <w:left w:val="nil"/>
              <w:bottom w:val="single" w:sz="4" w:space="0" w:color="auto"/>
              <w:right w:val="single" w:sz="4" w:space="0" w:color="auto"/>
            </w:tcBorders>
            <w:shd w:val="clear" w:color="auto" w:fill="auto"/>
            <w:noWrap/>
            <w:vAlign w:val="bottom"/>
            <w:hideMark/>
          </w:tcPr>
          <w:p w14:paraId="79C04C14"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12%</w:t>
            </w:r>
          </w:p>
        </w:tc>
      </w:tr>
      <w:tr w:rsidR="005B290A" w:rsidRPr="005B290A" w14:paraId="015A42B8"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4FF8F69"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7</w:t>
            </w:r>
          </w:p>
        </w:tc>
        <w:tc>
          <w:tcPr>
            <w:tcW w:w="1560" w:type="dxa"/>
            <w:tcBorders>
              <w:top w:val="nil"/>
              <w:left w:val="nil"/>
              <w:bottom w:val="single" w:sz="4" w:space="0" w:color="auto"/>
              <w:right w:val="single" w:sz="4" w:space="0" w:color="auto"/>
            </w:tcBorders>
            <w:shd w:val="clear" w:color="auto" w:fill="auto"/>
            <w:noWrap/>
            <w:vAlign w:val="bottom"/>
            <w:hideMark/>
          </w:tcPr>
          <w:p w14:paraId="2B2D7308"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332</w:t>
            </w:r>
          </w:p>
        </w:tc>
        <w:tc>
          <w:tcPr>
            <w:tcW w:w="1134" w:type="dxa"/>
            <w:tcBorders>
              <w:top w:val="nil"/>
              <w:left w:val="nil"/>
              <w:bottom w:val="single" w:sz="4" w:space="0" w:color="auto"/>
              <w:right w:val="single" w:sz="4" w:space="0" w:color="auto"/>
            </w:tcBorders>
            <w:shd w:val="clear" w:color="auto" w:fill="auto"/>
            <w:noWrap/>
            <w:vAlign w:val="bottom"/>
            <w:hideMark/>
          </w:tcPr>
          <w:p w14:paraId="09A2C31D"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10%</w:t>
            </w:r>
          </w:p>
        </w:tc>
        <w:tc>
          <w:tcPr>
            <w:tcW w:w="1417" w:type="dxa"/>
            <w:tcBorders>
              <w:top w:val="nil"/>
              <w:left w:val="nil"/>
              <w:bottom w:val="single" w:sz="4" w:space="0" w:color="auto"/>
              <w:right w:val="single" w:sz="4" w:space="0" w:color="auto"/>
            </w:tcBorders>
            <w:shd w:val="clear" w:color="auto" w:fill="auto"/>
            <w:noWrap/>
            <w:vAlign w:val="bottom"/>
            <w:hideMark/>
          </w:tcPr>
          <w:p w14:paraId="4423F4C5"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24</w:t>
            </w:r>
          </w:p>
        </w:tc>
        <w:tc>
          <w:tcPr>
            <w:tcW w:w="1418" w:type="dxa"/>
            <w:tcBorders>
              <w:top w:val="nil"/>
              <w:left w:val="nil"/>
              <w:bottom w:val="single" w:sz="4" w:space="0" w:color="auto"/>
              <w:right w:val="single" w:sz="4" w:space="0" w:color="auto"/>
            </w:tcBorders>
            <w:shd w:val="clear" w:color="auto" w:fill="auto"/>
            <w:noWrap/>
            <w:vAlign w:val="bottom"/>
            <w:hideMark/>
          </w:tcPr>
          <w:p w14:paraId="3271FD1D"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5%</w:t>
            </w:r>
          </w:p>
        </w:tc>
        <w:tc>
          <w:tcPr>
            <w:tcW w:w="1842" w:type="dxa"/>
            <w:tcBorders>
              <w:top w:val="nil"/>
              <w:left w:val="nil"/>
              <w:bottom w:val="single" w:sz="4" w:space="0" w:color="auto"/>
              <w:right w:val="single" w:sz="4" w:space="0" w:color="auto"/>
            </w:tcBorders>
            <w:shd w:val="clear" w:color="auto" w:fill="auto"/>
            <w:noWrap/>
            <w:vAlign w:val="bottom"/>
            <w:hideMark/>
          </w:tcPr>
          <w:p w14:paraId="5A080951"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7%</w:t>
            </w:r>
          </w:p>
        </w:tc>
      </w:tr>
      <w:tr w:rsidR="005B290A" w:rsidRPr="005B290A" w14:paraId="1C8DEC97"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EBE3B98"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8</w:t>
            </w:r>
          </w:p>
        </w:tc>
        <w:tc>
          <w:tcPr>
            <w:tcW w:w="1560" w:type="dxa"/>
            <w:tcBorders>
              <w:top w:val="nil"/>
              <w:left w:val="nil"/>
              <w:bottom w:val="single" w:sz="4" w:space="0" w:color="auto"/>
              <w:right w:val="single" w:sz="4" w:space="0" w:color="auto"/>
            </w:tcBorders>
            <w:shd w:val="clear" w:color="auto" w:fill="auto"/>
            <w:noWrap/>
            <w:vAlign w:val="bottom"/>
            <w:hideMark/>
          </w:tcPr>
          <w:p w14:paraId="6301439C"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282</w:t>
            </w:r>
          </w:p>
        </w:tc>
        <w:tc>
          <w:tcPr>
            <w:tcW w:w="1134" w:type="dxa"/>
            <w:tcBorders>
              <w:top w:val="nil"/>
              <w:left w:val="nil"/>
              <w:bottom w:val="single" w:sz="4" w:space="0" w:color="auto"/>
              <w:right w:val="single" w:sz="4" w:space="0" w:color="auto"/>
            </w:tcBorders>
            <w:shd w:val="clear" w:color="auto" w:fill="auto"/>
            <w:noWrap/>
            <w:vAlign w:val="bottom"/>
            <w:hideMark/>
          </w:tcPr>
          <w:p w14:paraId="428B93C2"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7FB05C61"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8</w:t>
            </w:r>
          </w:p>
        </w:tc>
        <w:tc>
          <w:tcPr>
            <w:tcW w:w="1418" w:type="dxa"/>
            <w:tcBorders>
              <w:top w:val="nil"/>
              <w:left w:val="nil"/>
              <w:bottom w:val="single" w:sz="4" w:space="0" w:color="auto"/>
              <w:right w:val="single" w:sz="4" w:space="0" w:color="auto"/>
            </w:tcBorders>
            <w:shd w:val="clear" w:color="auto" w:fill="auto"/>
            <w:noWrap/>
            <w:vAlign w:val="bottom"/>
            <w:hideMark/>
          </w:tcPr>
          <w:p w14:paraId="2BD4EC73"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2%</w:t>
            </w:r>
          </w:p>
        </w:tc>
        <w:tc>
          <w:tcPr>
            <w:tcW w:w="1842" w:type="dxa"/>
            <w:tcBorders>
              <w:top w:val="nil"/>
              <w:left w:val="nil"/>
              <w:bottom w:val="single" w:sz="4" w:space="0" w:color="auto"/>
              <w:right w:val="single" w:sz="4" w:space="0" w:color="auto"/>
            </w:tcBorders>
            <w:shd w:val="clear" w:color="auto" w:fill="auto"/>
            <w:noWrap/>
            <w:vAlign w:val="bottom"/>
            <w:hideMark/>
          </w:tcPr>
          <w:p w14:paraId="227FD152"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3%</w:t>
            </w:r>
          </w:p>
        </w:tc>
      </w:tr>
      <w:tr w:rsidR="005B290A" w:rsidRPr="005B290A" w14:paraId="0B580BB2"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BA205F"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9</w:t>
            </w:r>
          </w:p>
        </w:tc>
        <w:tc>
          <w:tcPr>
            <w:tcW w:w="1560" w:type="dxa"/>
            <w:tcBorders>
              <w:top w:val="nil"/>
              <w:left w:val="nil"/>
              <w:bottom w:val="single" w:sz="4" w:space="0" w:color="auto"/>
              <w:right w:val="single" w:sz="4" w:space="0" w:color="auto"/>
            </w:tcBorders>
            <w:shd w:val="clear" w:color="auto" w:fill="auto"/>
            <w:noWrap/>
            <w:vAlign w:val="bottom"/>
            <w:hideMark/>
          </w:tcPr>
          <w:p w14:paraId="7E7882DF"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667</w:t>
            </w:r>
          </w:p>
        </w:tc>
        <w:tc>
          <w:tcPr>
            <w:tcW w:w="1134" w:type="dxa"/>
            <w:tcBorders>
              <w:top w:val="nil"/>
              <w:left w:val="nil"/>
              <w:bottom w:val="single" w:sz="4" w:space="0" w:color="auto"/>
              <w:right w:val="single" w:sz="4" w:space="0" w:color="auto"/>
            </w:tcBorders>
            <w:shd w:val="clear" w:color="auto" w:fill="auto"/>
            <w:noWrap/>
            <w:vAlign w:val="bottom"/>
            <w:hideMark/>
          </w:tcPr>
          <w:p w14:paraId="7041A536"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216C00BB"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w:t>
            </w:r>
          </w:p>
        </w:tc>
        <w:tc>
          <w:tcPr>
            <w:tcW w:w="1418" w:type="dxa"/>
            <w:tcBorders>
              <w:top w:val="nil"/>
              <w:left w:val="nil"/>
              <w:bottom w:val="single" w:sz="4" w:space="0" w:color="auto"/>
              <w:right w:val="single" w:sz="4" w:space="0" w:color="auto"/>
            </w:tcBorders>
            <w:shd w:val="clear" w:color="auto" w:fill="auto"/>
            <w:noWrap/>
            <w:vAlign w:val="bottom"/>
            <w:hideMark/>
          </w:tcPr>
          <w:p w14:paraId="4764C001"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w:t>
            </w:r>
          </w:p>
        </w:tc>
        <w:tc>
          <w:tcPr>
            <w:tcW w:w="1842" w:type="dxa"/>
            <w:tcBorders>
              <w:top w:val="nil"/>
              <w:left w:val="nil"/>
              <w:bottom w:val="single" w:sz="4" w:space="0" w:color="auto"/>
              <w:right w:val="single" w:sz="4" w:space="0" w:color="auto"/>
            </w:tcBorders>
            <w:shd w:val="clear" w:color="auto" w:fill="auto"/>
            <w:noWrap/>
            <w:vAlign w:val="bottom"/>
            <w:hideMark/>
          </w:tcPr>
          <w:p w14:paraId="7F26B76F"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0%</w:t>
            </w:r>
          </w:p>
        </w:tc>
      </w:tr>
      <w:tr w:rsidR="005B290A" w:rsidRPr="005B290A" w14:paraId="7FDBF907"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BC57492" w14:textId="77777777" w:rsidR="005B290A" w:rsidRPr="005B290A" w:rsidRDefault="005B290A" w:rsidP="002F2954">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 xml:space="preserve"> (least deprived) 10</w:t>
            </w:r>
          </w:p>
        </w:tc>
        <w:tc>
          <w:tcPr>
            <w:tcW w:w="1560" w:type="dxa"/>
            <w:tcBorders>
              <w:top w:val="nil"/>
              <w:left w:val="nil"/>
              <w:bottom w:val="single" w:sz="4" w:space="0" w:color="auto"/>
              <w:right w:val="single" w:sz="4" w:space="0" w:color="auto"/>
            </w:tcBorders>
            <w:shd w:val="clear" w:color="auto" w:fill="auto"/>
            <w:noWrap/>
            <w:vAlign w:val="bottom"/>
            <w:hideMark/>
          </w:tcPr>
          <w:p w14:paraId="7115D4C3"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988</w:t>
            </w:r>
          </w:p>
        </w:tc>
        <w:tc>
          <w:tcPr>
            <w:tcW w:w="1134" w:type="dxa"/>
            <w:tcBorders>
              <w:top w:val="nil"/>
              <w:left w:val="nil"/>
              <w:bottom w:val="single" w:sz="4" w:space="0" w:color="auto"/>
              <w:right w:val="single" w:sz="4" w:space="0" w:color="auto"/>
            </w:tcBorders>
            <w:shd w:val="clear" w:color="auto" w:fill="auto"/>
            <w:noWrap/>
            <w:vAlign w:val="bottom"/>
            <w:hideMark/>
          </w:tcPr>
          <w:p w14:paraId="6D9020DE"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30%</w:t>
            </w:r>
          </w:p>
        </w:tc>
        <w:tc>
          <w:tcPr>
            <w:tcW w:w="1417" w:type="dxa"/>
            <w:tcBorders>
              <w:top w:val="nil"/>
              <w:left w:val="nil"/>
              <w:bottom w:val="single" w:sz="4" w:space="0" w:color="auto"/>
              <w:right w:val="single" w:sz="4" w:space="0" w:color="auto"/>
            </w:tcBorders>
            <w:shd w:val="clear" w:color="auto" w:fill="auto"/>
            <w:noWrap/>
            <w:vAlign w:val="bottom"/>
            <w:hideMark/>
          </w:tcPr>
          <w:p w14:paraId="4D49D15E"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6</w:t>
            </w:r>
          </w:p>
        </w:tc>
        <w:tc>
          <w:tcPr>
            <w:tcW w:w="1418" w:type="dxa"/>
            <w:tcBorders>
              <w:top w:val="nil"/>
              <w:left w:val="nil"/>
              <w:bottom w:val="single" w:sz="4" w:space="0" w:color="auto"/>
              <w:right w:val="single" w:sz="4" w:space="0" w:color="auto"/>
            </w:tcBorders>
            <w:shd w:val="clear" w:color="auto" w:fill="auto"/>
            <w:noWrap/>
            <w:vAlign w:val="bottom"/>
            <w:hideMark/>
          </w:tcPr>
          <w:p w14:paraId="23F1F292"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w:t>
            </w:r>
          </w:p>
        </w:tc>
        <w:tc>
          <w:tcPr>
            <w:tcW w:w="1842" w:type="dxa"/>
            <w:tcBorders>
              <w:top w:val="nil"/>
              <w:left w:val="nil"/>
              <w:bottom w:val="single" w:sz="4" w:space="0" w:color="auto"/>
              <w:right w:val="single" w:sz="4" w:space="0" w:color="auto"/>
            </w:tcBorders>
            <w:shd w:val="clear" w:color="auto" w:fill="auto"/>
            <w:noWrap/>
            <w:vAlign w:val="bottom"/>
            <w:hideMark/>
          </w:tcPr>
          <w:p w14:paraId="13F38257" w14:textId="77777777" w:rsidR="005B290A" w:rsidRPr="005B290A" w:rsidRDefault="005B290A" w:rsidP="005B290A">
            <w:pPr>
              <w:spacing w:after="0" w:line="240" w:lineRule="auto"/>
              <w:jc w:val="right"/>
              <w:rPr>
                <w:rFonts w:ascii="Calibri" w:eastAsia="Times New Roman" w:hAnsi="Calibri" w:cs="Calibri"/>
                <w:i/>
                <w:iCs/>
                <w:color w:val="000000"/>
                <w:lang w:eastAsia="en-GB"/>
              </w:rPr>
            </w:pPr>
            <w:r w:rsidRPr="005B290A">
              <w:rPr>
                <w:rFonts w:ascii="Calibri" w:eastAsia="Times New Roman" w:hAnsi="Calibri" w:cs="Calibri"/>
                <w:i/>
                <w:iCs/>
                <w:color w:val="000000"/>
                <w:lang w:eastAsia="en-GB"/>
              </w:rPr>
              <w:t>1%</w:t>
            </w:r>
          </w:p>
        </w:tc>
      </w:tr>
      <w:tr w:rsidR="005B290A" w:rsidRPr="005B290A" w14:paraId="3F527D21" w14:textId="77777777" w:rsidTr="00E14FDE">
        <w:trPr>
          <w:trHeight w:val="28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4ED6EF0"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C5CE86"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3321</w:t>
            </w:r>
          </w:p>
        </w:tc>
        <w:tc>
          <w:tcPr>
            <w:tcW w:w="1134" w:type="dxa"/>
            <w:tcBorders>
              <w:top w:val="nil"/>
              <w:left w:val="nil"/>
              <w:bottom w:val="single" w:sz="4" w:space="0" w:color="auto"/>
              <w:right w:val="single" w:sz="4" w:space="0" w:color="auto"/>
            </w:tcBorders>
            <w:shd w:val="clear" w:color="auto" w:fill="auto"/>
            <w:noWrap/>
            <w:vAlign w:val="bottom"/>
            <w:hideMark/>
          </w:tcPr>
          <w:p w14:paraId="26909C49"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C85970" w14:textId="77777777" w:rsidR="005B290A" w:rsidRPr="005B290A" w:rsidRDefault="005B290A" w:rsidP="005B290A">
            <w:pPr>
              <w:spacing w:after="0" w:line="240" w:lineRule="auto"/>
              <w:jc w:val="right"/>
              <w:rPr>
                <w:rFonts w:ascii="Calibri" w:eastAsia="Times New Roman" w:hAnsi="Calibri" w:cs="Calibri"/>
                <w:color w:val="000000"/>
                <w:lang w:eastAsia="en-GB"/>
              </w:rPr>
            </w:pPr>
            <w:r w:rsidRPr="005B290A">
              <w:rPr>
                <w:rFonts w:ascii="Calibri" w:eastAsia="Times New Roman" w:hAnsi="Calibri" w:cs="Calibri"/>
                <w:color w:val="000000"/>
                <w:lang w:eastAsia="en-GB"/>
              </w:rPr>
              <w:t>451</w:t>
            </w:r>
          </w:p>
        </w:tc>
        <w:tc>
          <w:tcPr>
            <w:tcW w:w="1418" w:type="dxa"/>
            <w:tcBorders>
              <w:top w:val="nil"/>
              <w:left w:val="nil"/>
              <w:bottom w:val="single" w:sz="4" w:space="0" w:color="auto"/>
              <w:right w:val="single" w:sz="4" w:space="0" w:color="auto"/>
            </w:tcBorders>
            <w:shd w:val="clear" w:color="auto" w:fill="auto"/>
            <w:noWrap/>
            <w:vAlign w:val="bottom"/>
            <w:hideMark/>
          </w:tcPr>
          <w:p w14:paraId="651BEB03"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bottom"/>
            <w:hideMark/>
          </w:tcPr>
          <w:p w14:paraId="7B13BD4F" w14:textId="77777777" w:rsidR="005B290A" w:rsidRPr="005B290A" w:rsidRDefault="005B290A" w:rsidP="005B290A">
            <w:pPr>
              <w:spacing w:after="0" w:line="240" w:lineRule="auto"/>
              <w:rPr>
                <w:rFonts w:ascii="Calibri" w:eastAsia="Times New Roman" w:hAnsi="Calibri" w:cs="Calibri"/>
                <w:color w:val="000000"/>
                <w:lang w:eastAsia="en-GB"/>
              </w:rPr>
            </w:pPr>
            <w:r w:rsidRPr="005B290A">
              <w:rPr>
                <w:rFonts w:ascii="Calibri" w:eastAsia="Times New Roman" w:hAnsi="Calibri" w:cs="Calibri"/>
                <w:color w:val="000000"/>
                <w:lang w:eastAsia="en-GB"/>
              </w:rPr>
              <w:t> </w:t>
            </w:r>
          </w:p>
        </w:tc>
      </w:tr>
    </w:tbl>
    <w:p w14:paraId="5A973786" w14:textId="77777777" w:rsidR="002F2954" w:rsidRPr="00EB4A49" w:rsidRDefault="002F2954" w:rsidP="0017475F">
      <w:pPr>
        <w:rPr>
          <w:rFonts w:asciiTheme="majorHAnsi" w:hAnsiTheme="majorHAnsi" w:cstheme="majorHAnsi"/>
          <w:sz w:val="24"/>
          <w:szCs w:val="24"/>
        </w:rPr>
      </w:pPr>
    </w:p>
    <w:p w14:paraId="7639F607" w14:textId="6DDAC4C5" w:rsidR="003942B9" w:rsidRDefault="004F5E35" w:rsidP="003942B9">
      <w:pPr>
        <w:rPr>
          <w:rFonts w:asciiTheme="majorHAnsi" w:hAnsiTheme="majorHAnsi" w:cstheme="majorHAnsi"/>
          <w:b/>
          <w:sz w:val="24"/>
          <w:szCs w:val="24"/>
        </w:rPr>
      </w:pPr>
      <w:r w:rsidRPr="002F2954">
        <w:rPr>
          <w:rFonts w:asciiTheme="majorHAnsi" w:hAnsiTheme="majorHAnsi" w:cstheme="majorHAnsi"/>
          <w:b/>
          <w:sz w:val="24"/>
          <w:szCs w:val="24"/>
        </w:rPr>
        <w:t xml:space="preserve">Recommendation: To review the calculation </w:t>
      </w:r>
      <w:r w:rsidR="002F2954">
        <w:rPr>
          <w:rFonts w:asciiTheme="majorHAnsi" w:hAnsiTheme="majorHAnsi" w:cstheme="majorHAnsi"/>
          <w:b/>
          <w:sz w:val="24"/>
          <w:szCs w:val="24"/>
        </w:rPr>
        <w:t xml:space="preserve">method </w:t>
      </w:r>
      <w:r w:rsidRPr="002F2954">
        <w:rPr>
          <w:rFonts w:asciiTheme="majorHAnsi" w:hAnsiTheme="majorHAnsi" w:cstheme="majorHAnsi"/>
          <w:b/>
          <w:sz w:val="24"/>
          <w:szCs w:val="24"/>
        </w:rPr>
        <w:t>used to identify children eligible for the deprivation fund, and to consider updating the method</w:t>
      </w:r>
      <w:r w:rsidR="00C066C6">
        <w:rPr>
          <w:rFonts w:asciiTheme="majorHAnsi" w:hAnsiTheme="majorHAnsi" w:cstheme="majorHAnsi"/>
          <w:b/>
          <w:sz w:val="24"/>
          <w:szCs w:val="24"/>
        </w:rPr>
        <w:t xml:space="preserve"> to a more equitable approach</w:t>
      </w:r>
      <w:r w:rsidR="005B4BCE">
        <w:rPr>
          <w:rFonts w:asciiTheme="majorHAnsi" w:hAnsiTheme="majorHAnsi" w:cstheme="majorHAnsi"/>
          <w:b/>
          <w:sz w:val="24"/>
          <w:szCs w:val="24"/>
        </w:rPr>
        <w:t>, with reference to the national early years funding formal</w:t>
      </w:r>
      <w:r w:rsidRPr="002F2954">
        <w:rPr>
          <w:rFonts w:asciiTheme="majorHAnsi" w:hAnsiTheme="majorHAnsi" w:cstheme="majorHAnsi"/>
          <w:b/>
          <w:sz w:val="24"/>
          <w:szCs w:val="24"/>
        </w:rPr>
        <w:t xml:space="preserve"> </w:t>
      </w:r>
      <w:r w:rsidR="005B4BCE">
        <w:rPr>
          <w:rFonts w:asciiTheme="majorHAnsi" w:hAnsiTheme="majorHAnsi" w:cstheme="majorHAnsi"/>
          <w:b/>
          <w:sz w:val="24"/>
          <w:szCs w:val="24"/>
        </w:rPr>
        <w:t xml:space="preserve">review. </w:t>
      </w:r>
    </w:p>
    <w:p w14:paraId="3F28E4EE" w14:textId="77777777" w:rsidR="00123B4F" w:rsidRDefault="00123B4F" w:rsidP="003942B9">
      <w:pPr>
        <w:rPr>
          <w:rFonts w:asciiTheme="majorHAnsi" w:hAnsiTheme="majorHAnsi" w:cstheme="majorHAnsi"/>
          <w:b/>
          <w:sz w:val="24"/>
          <w:szCs w:val="24"/>
        </w:rPr>
      </w:pPr>
    </w:p>
    <w:p w14:paraId="1EE35FCC" w14:textId="77777777" w:rsidR="00123B4F" w:rsidRDefault="00123B4F" w:rsidP="003942B9">
      <w:pPr>
        <w:rPr>
          <w:rFonts w:asciiTheme="majorHAnsi" w:hAnsiTheme="majorHAnsi" w:cstheme="majorHAnsi"/>
          <w:b/>
          <w:sz w:val="24"/>
          <w:szCs w:val="24"/>
        </w:rPr>
      </w:pPr>
    </w:p>
    <w:p w14:paraId="13DEC6B7" w14:textId="013EBC41" w:rsidR="002F2954" w:rsidRPr="00900A26" w:rsidRDefault="002F2954" w:rsidP="003942B9">
      <w:pPr>
        <w:rPr>
          <w:rFonts w:asciiTheme="majorHAnsi" w:hAnsiTheme="majorHAnsi" w:cstheme="majorHAnsi"/>
          <w:sz w:val="24"/>
          <w:szCs w:val="24"/>
        </w:rPr>
      </w:pPr>
    </w:p>
    <w:p w14:paraId="647A1765" w14:textId="77777777" w:rsidR="003942B9" w:rsidRDefault="003942B9" w:rsidP="003942B9">
      <w:pPr>
        <w:pStyle w:val="Heading2"/>
        <w:rPr>
          <w:rFonts w:cstheme="majorHAnsi"/>
          <w:sz w:val="24"/>
          <w:szCs w:val="24"/>
        </w:rPr>
      </w:pPr>
    </w:p>
    <w:p w14:paraId="3AE07162" w14:textId="77777777" w:rsidR="003942B9" w:rsidRPr="009D20B5" w:rsidRDefault="007244B2" w:rsidP="009D20B5">
      <w:pPr>
        <w:pStyle w:val="Heading1"/>
        <w:rPr>
          <w:rFonts w:cstheme="majorHAnsi"/>
          <w:b/>
          <w:sz w:val="24"/>
          <w:szCs w:val="24"/>
        </w:rPr>
      </w:pPr>
      <w:bookmarkStart w:id="12" w:name="_Toc58575072"/>
      <w:r w:rsidRPr="009D20B5">
        <w:rPr>
          <w:rFonts w:cstheme="majorHAnsi"/>
          <w:b/>
          <w:sz w:val="24"/>
          <w:szCs w:val="24"/>
        </w:rPr>
        <w:t>Trends in Time</w:t>
      </w:r>
      <w:bookmarkEnd w:id="12"/>
    </w:p>
    <w:p w14:paraId="4F6A8176" w14:textId="77777777" w:rsidR="007244B2" w:rsidRDefault="007244B2" w:rsidP="007244B2"/>
    <w:p w14:paraId="43F562EF" w14:textId="77777777" w:rsidR="007244B2" w:rsidRDefault="007244B2" w:rsidP="009D20B5">
      <w:pPr>
        <w:pStyle w:val="Heading2"/>
      </w:pPr>
      <w:bookmarkStart w:id="13" w:name="_Toc58575073"/>
      <w:r>
        <w:t>EHCP</w:t>
      </w:r>
      <w:bookmarkEnd w:id="13"/>
    </w:p>
    <w:p w14:paraId="37E14736" w14:textId="77777777" w:rsidR="007244B2" w:rsidRPr="00EB4A49" w:rsidRDefault="007244B2" w:rsidP="007244B2">
      <w:pPr>
        <w:rPr>
          <w:rFonts w:asciiTheme="majorHAnsi" w:hAnsiTheme="majorHAnsi" w:cstheme="majorHAnsi"/>
          <w:sz w:val="24"/>
          <w:szCs w:val="24"/>
        </w:rPr>
      </w:pPr>
      <w:r>
        <w:rPr>
          <w:rFonts w:asciiTheme="majorHAnsi" w:hAnsiTheme="majorHAnsi" w:cstheme="majorHAnsi"/>
          <w:sz w:val="24"/>
          <w:szCs w:val="24"/>
        </w:rPr>
        <w:t>Over the last ten years York has</w:t>
      </w:r>
      <w:r w:rsidRPr="00EB4A49">
        <w:rPr>
          <w:rFonts w:asciiTheme="majorHAnsi" w:hAnsiTheme="majorHAnsi" w:cstheme="majorHAnsi"/>
          <w:sz w:val="24"/>
          <w:szCs w:val="24"/>
        </w:rPr>
        <w:t xml:space="preserve"> se</w:t>
      </w:r>
      <w:r>
        <w:rPr>
          <w:rFonts w:asciiTheme="majorHAnsi" w:hAnsiTheme="majorHAnsi" w:cstheme="majorHAnsi"/>
          <w:sz w:val="24"/>
          <w:szCs w:val="24"/>
        </w:rPr>
        <w:t xml:space="preserve">en a steady but sustained rise in pupils with an EHCP. The </w:t>
      </w:r>
      <w:r w:rsidRPr="00EB4A49">
        <w:rPr>
          <w:rFonts w:asciiTheme="majorHAnsi" w:hAnsiTheme="majorHAnsi" w:cstheme="majorHAnsi"/>
          <w:sz w:val="24"/>
          <w:szCs w:val="24"/>
        </w:rPr>
        <w:t xml:space="preserve">increase is at a rate of 0.1% of the whole school population every two years. Despite this rise, the absolute figures for York remain substantially below England and the majority of the CIPFA neighbour areas. </w:t>
      </w:r>
      <w:r>
        <w:rPr>
          <w:rFonts w:asciiTheme="majorHAnsi" w:hAnsiTheme="majorHAnsi" w:cstheme="majorHAnsi"/>
          <w:sz w:val="24"/>
          <w:szCs w:val="24"/>
        </w:rPr>
        <w:t xml:space="preserve">Overall the proportions of the types of need in the EHCPs is similar to the England average. </w:t>
      </w:r>
    </w:p>
    <w:p w14:paraId="5875BB08" w14:textId="77777777" w:rsidR="007244B2" w:rsidRPr="00EB4A49" w:rsidRDefault="007244B2" w:rsidP="007244B2">
      <w:pPr>
        <w:rPr>
          <w:rFonts w:asciiTheme="majorHAnsi" w:hAnsiTheme="majorHAnsi" w:cstheme="majorHAnsi"/>
          <w:b/>
          <w:sz w:val="24"/>
          <w:szCs w:val="24"/>
        </w:rPr>
      </w:pPr>
      <w:r w:rsidRPr="00EB4A49">
        <w:rPr>
          <w:rFonts w:asciiTheme="majorHAnsi" w:hAnsiTheme="majorHAnsi" w:cstheme="majorHAnsi"/>
          <w:b/>
          <w:noProof/>
          <w:sz w:val="24"/>
          <w:szCs w:val="24"/>
          <w:lang w:eastAsia="en-GB"/>
        </w:rPr>
        <w:lastRenderedPageBreak/>
        <w:drawing>
          <wp:inline distT="0" distB="0" distL="0" distR="0" wp14:anchorId="758B010C" wp14:editId="70B420A4">
            <wp:extent cx="5760000" cy="2880000"/>
            <wp:effectExtent l="0" t="0" r="1270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9508A2" w14:textId="77777777" w:rsidR="007244B2" w:rsidRDefault="007244B2" w:rsidP="007244B2">
      <w:pPr>
        <w:rPr>
          <w:rFonts w:asciiTheme="majorHAnsi" w:hAnsiTheme="majorHAnsi" w:cstheme="majorHAnsi"/>
          <w:sz w:val="24"/>
          <w:szCs w:val="24"/>
        </w:rPr>
      </w:pPr>
    </w:p>
    <w:p w14:paraId="6B7909D0" w14:textId="77777777" w:rsidR="007244B2" w:rsidRPr="00EB4A49" w:rsidRDefault="007244B2" w:rsidP="007244B2">
      <w:pPr>
        <w:rPr>
          <w:rFonts w:cstheme="minorHAnsi"/>
          <w:sz w:val="24"/>
          <w:szCs w:val="24"/>
        </w:rPr>
      </w:pPr>
      <w:r>
        <w:rPr>
          <w:rFonts w:cstheme="minorHAnsi"/>
          <w:sz w:val="24"/>
          <w:szCs w:val="24"/>
        </w:rPr>
        <w:t xml:space="preserve">Looking more </w:t>
      </w:r>
      <w:r w:rsidR="00A56422">
        <w:rPr>
          <w:rFonts w:cstheme="minorHAnsi"/>
          <w:sz w:val="24"/>
          <w:szCs w:val="24"/>
        </w:rPr>
        <w:t xml:space="preserve">specifically at the last five years, there has been a significant increase in all years except that last two. </w:t>
      </w:r>
      <w:r w:rsidRPr="00EB4A49">
        <w:rPr>
          <w:rFonts w:cstheme="minorHAnsi"/>
          <w:sz w:val="24"/>
          <w:szCs w:val="24"/>
        </w:rPr>
        <w:t>This shows a break with the l</w:t>
      </w:r>
      <w:r>
        <w:rPr>
          <w:rFonts w:cstheme="minorHAnsi"/>
          <w:sz w:val="24"/>
          <w:szCs w:val="24"/>
        </w:rPr>
        <w:t xml:space="preserve">ocal trends of previous years and a potential stabilisation of the numbers. </w:t>
      </w:r>
    </w:p>
    <w:tbl>
      <w:tblPr>
        <w:tblpPr w:leftFromText="180" w:rightFromText="180" w:vertAnchor="text" w:horzAnchor="page" w:tblpX="2071" w:tblpY="290"/>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1134"/>
        <w:gridCol w:w="1134"/>
        <w:gridCol w:w="1134"/>
      </w:tblGrid>
      <w:tr w:rsidR="007244B2" w:rsidRPr="00EB4A49" w14:paraId="68F6A6A0"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A5E09" w14:textId="77777777" w:rsidR="007244B2" w:rsidRPr="00EB4A49" w:rsidRDefault="007244B2" w:rsidP="008F3229">
            <w:pPr>
              <w:spacing w:after="0" w:line="240" w:lineRule="auto"/>
              <w:rPr>
                <w:rFonts w:ascii="Times New Roman" w:eastAsia="Times New Roman" w:hAnsi="Times New Roman" w:cs="Times New Roman"/>
                <w:sz w:val="24"/>
                <w:szCs w:val="24"/>
                <w:lang w:eastAsia="en-GB"/>
              </w:rPr>
            </w:pPr>
          </w:p>
        </w:tc>
        <w:tc>
          <w:tcPr>
            <w:tcW w:w="2409" w:type="dxa"/>
            <w:gridSpan w:val="2"/>
            <w:tcBorders>
              <w:left w:val="single" w:sz="4" w:space="0" w:color="auto"/>
            </w:tcBorders>
            <w:shd w:val="clear" w:color="auto" w:fill="auto"/>
            <w:noWrap/>
            <w:vAlign w:val="bottom"/>
          </w:tcPr>
          <w:p w14:paraId="7A764147"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All CYP (0-25)</w:t>
            </w:r>
          </w:p>
        </w:tc>
        <w:tc>
          <w:tcPr>
            <w:tcW w:w="2268" w:type="dxa"/>
            <w:gridSpan w:val="2"/>
          </w:tcPr>
          <w:p w14:paraId="25B341F9"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CYP school age (5-16)</w:t>
            </w:r>
            <w:r w:rsidR="00F27327">
              <w:rPr>
                <w:rFonts w:ascii="Calibri" w:eastAsia="Times New Roman" w:hAnsi="Calibri" w:cs="Calibri"/>
                <w:color w:val="000000"/>
                <w:sz w:val="24"/>
                <w:szCs w:val="24"/>
                <w:lang w:eastAsia="en-GB"/>
              </w:rPr>
              <w:t xml:space="preserve"> with an EHCP</w:t>
            </w:r>
          </w:p>
        </w:tc>
      </w:tr>
      <w:tr w:rsidR="007244B2" w:rsidRPr="00EB4A49" w14:paraId="68FEFB53"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338AB" w14:textId="77777777" w:rsidR="007244B2" w:rsidRPr="00EB4A49" w:rsidRDefault="007244B2" w:rsidP="008F3229">
            <w:pPr>
              <w:spacing w:after="0" w:line="240" w:lineRule="auto"/>
              <w:rPr>
                <w:rFonts w:ascii="Times New Roman" w:eastAsia="Times New Roman" w:hAnsi="Times New Roman" w:cs="Times New Roman"/>
                <w:sz w:val="24"/>
                <w:szCs w:val="24"/>
                <w:lang w:eastAsia="en-GB"/>
              </w:rPr>
            </w:pPr>
            <w:r w:rsidRPr="00EB4A49">
              <w:rPr>
                <w:rFonts w:ascii="Times New Roman" w:eastAsia="Times New Roman" w:hAnsi="Times New Roman" w:cs="Times New Roman"/>
                <w:sz w:val="24"/>
                <w:szCs w:val="24"/>
                <w:lang w:eastAsia="en-GB"/>
              </w:rPr>
              <w:t>Year</w:t>
            </w:r>
          </w:p>
        </w:tc>
        <w:tc>
          <w:tcPr>
            <w:tcW w:w="1275" w:type="dxa"/>
            <w:tcBorders>
              <w:left w:val="single" w:sz="4" w:space="0" w:color="auto"/>
            </w:tcBorders>
            <w:shd w:val="clear" w:color="auto" w:fill="auto"/>
            <w:noWrap/>
            <w:vAlign w:val="bottom"/>
            <w:hideMark/>
          </w:tcPr>
          <w:p w14:paraId="4E81CB37"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 xml:space="preserve">Number </w:t>
            </w:r>
          </w:p>
        </w:tc>
        <w:tc>
          <w:tcPr>
            <w:tcW w:w="1134" w:type="dxa"/>
            <w:shd w:val="clear" w:color="auto" w:fill="auto"/>
            <w:noWrap/>
            <w:vAlign w:val="bottom"/>
            <w:hideMark/>
          </w:tcPr>
          <w:p w14:paraId="645DE7AD"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 xml:space="preserve">% increase </w:t>
            </w:r>
          </w:p>
        </w:tc>
        <w:tc>
          <w:tcPr>
            <w:tcW w:w="1134" w:type="dxa"/>
          </w:tcPr>
          <w:p w14:paraId="018DCADE"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 xml:space="preserve">Number </w:t>
            </w:r>
          </w:p>
        </w:tc>
        <w:tc>
          <w:tcPr>
            <w:tcW w:w="1134" w:type="dxa"/>
          </w:tcPr>
          <w:p w14:paraId="37AC5328"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 xml:space="preserve">% increase </w:t>
            </w:r>
          </w:p>
        </w:tc>
      </w:tr>
      <w:tr w:rsidR="007244B2" w:rsidRPr="00EB4A49" w14:paraId="4B4F9CDE"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C83A2"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14/15</w:t>
            </w:r>
          </w:p>
        </w:tc>
        <w:tc>
          <w:tcPr>
            <w:tcW w:w="1275" w:type="dxa"/>
            <w:tcBorders>
              <w:left w:val="single" w:sz="4" w:space="0" w:color="auto"/>
            </w:tcBorders>
            <w:shd w:val="clear" w:color="auto" w:fill="auto"/>
            <w:noWrap/>
            <w:vAlign w:val="bottom"/>
            <w:hideMark/>
          </w:tcPr>
          <w:p w14:paraId="2A52A795"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693</w:t>
            </w:r>
          </w:p>
        </w:tc>
        <w:tc>
          <w:tcPr>
            <w:tcW w:w="1134" w:type="dxa"/>
            <w:shd w:val="clear" w:color="auto" w:fill="auto"/>
            <w:noWrap/>
            <w:vAlign w:val="bottom"/>
            <w:hideMark/>
          </w:tcPr>
          <w:p w14:paraId="3FF3CEC7"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w:t>
            </w:r>
          </w:p>
        </w:tc>
        <w:tc>
          <w:tcPr>
            <w:tcW w:w="1134" w:type="dxa"/>
            <w:shd w:val="clear" w:color="auto" w:fill="auto"/>
            <w:vAlign w:val="bottom"/>
          </w:tcPr>
          <w:p w14:paraId="0750855C"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590</w:t>
            </w:r>
          </w:p>
        </w:tc>
        <w:tc>
          <w:tcPr>
            <w:tcW w:w="1134" w:type="dxa"/>
            <w:shd w:val="clear" w:color="auto" w:fill="auto"/>
            <w:vAlign w:val="bottom"/>
          </w:tcPr>
          <w:p w14:paraId="3718BE77"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w:t>
            </w:r>
          </w:p>
        </w:tc>
      </w:tr>
      <w:tr w:rsidR="007244B2" w:rsidRPr="00EB4A49" w14:paraId="68E5F09D"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1CEFC"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15/16</w:t>
            </w:r>
          </w:p>
        </w:tc>
        <w:tc>
          <w:tcPr>
            <w:tcW w:w="1275" w:type="dxa"/>
            <w:tcBorders>
              <w:left w:val="single" w:sz="4" w:space="0" w:color="auto"/>
            </w:tcBorders>
            <w:shd w:val="clear" w:color="auto" w:fill="auto"/>
            <w:noWrap/>
            <w:vAlign w:val="bottom"/>
            <w:hideMark/>
          </w:tcPr>
          <w:p w14:paraId="1FAE6753"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987</w:t>
            </w:r>
          </w:p>
        </w:tc>
        <w:tc>
          <w:tcPr>
            <w:tcW w:w="1134" w:type="dxa"/>
            <w:shd w:val="clear" w:color="auto" w:fill="auto"/>
            <w:noWrap/>
            <w:vAlign w:val="bottom"/>
            <w:hideMark/>
          </w:tcPr>
          <w:p w14:paraId="00BEA376"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42%</w:t>
            </w:r>
          </w:p>
        </w:tc>
        <w:tc>
          <w:tcPr>
            <w:tcW w:w="1134" w:type="dxa"/>
            <w:shd w:val="clear" w:color="auto" w:fill="auto"/>
            <w:vAlign w:val="bottom"/>
          </w:tcPr>
          <w:p w14:paraId="2C91A436"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743</w:t>
            </w:r>
          </w:p>
        </w:tc>
        <w:tc>
          <w:tcPr>
            <w:tcW w:w="1134" w:type="dxa"/>
            <w:shd w:val="clear" w:color="auto" w:fill="auto"/>
            <w:vAlign w:val="bottom"/>
          </w:tcPr>
          <w:p w14:paraId="6A5563E3"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26%</w:t>
            </w:r>
          </w:p>
        </w:tc>
      </w:tr>
      <w:tr w:rsidR="007244B2" w:rsidRPr="00EB4A49" w14:paraId="3BF2B3B6"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A3D4"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16/17</w:t>
            </w:r>
          </w:p>
        </w:tc>
        <w:tc>
          <w:tcPr>
            <w:tcW w:w="1275" w:type="dxa"/>
            <w:tcBorders>
              <w:left w:val="single" w:sz="4" w:space="0" w:color="auto"/>
            </w:tcBorders>
            <w:shd w:val="clear" w:color="auto" w:fill="auto"/>
            <w:noWrap/>
            <w:vAlign w:val="bottom"/>
            <w:hideMark/>
          </w:tcPr>
          <w:p w14:paraId="0F35F255"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1101</w:t>
            </w:r>
          </w:p>
        </w:tc>
        <w:tc>
          <w:tcPr>
            <w:tcW w:w="1134" w:type="dxa"/>
            <w:shd w:val="clear" w:color="auto" w:fill="auto"/>
            <w:noWrap/>
            <w:vAlign w:val="bottom"/>
            <w:hideMark/>
          </w:tcPr>
          <w:p w14:paraId="239E5317"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12%</w:t>
            </w:r>
          </w:p>
        </w:tc>
        <w:tc>
          <w:tcPr>
            <w:tcW w:w="1134" w:type="dxa"/>
            <w:shd w:val="clear" w:color="auto" w:fill="auto"/>
            <w:vAlign w:val="bottom"/>
          </w:tcPr>
          <w:p w14:paraId="0BE65347"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795</w:t>
            </w:r>
          </w:p>
        </w:tc>
        <w:tc>
          <w:tcPr>
            <w:tcW w:w="1134" w:type="dxa"/>
            <w:shd w:val="clear" w:color="auto" w:fill="auto"/>
            <w:vAlign w:val="bottom"/>
          </w:tcPr>
          <w:p w14:paraId="1E158DEE"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7%</w:t>
            </w:r>
          </w:p>
        </w:tc>
      </w:tr>
      <w:tr w:rsidR="007244B2" w:rsidRPr="00EB4A49" w14:paraId="6AF70124"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1532"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17/18</w:t>
            </w:r>
          </w:p>
        </w:tc>
        <w:tc>
          <w:tcPr>
            <w:tcW w:w="1275" w:type="dxa"/>
            <w:tcBorders>
              <w:left w:val="single" w:sz="4" w:space="0" w:color="auto"/>
            </w:tcBorders>
            <w:shd w:val="clear" w:color="auto" w:fill="auto"/>
            <w:noWrap/>
            <w:vAlign w:val="bottom"/>
            <w:hideMark/>
          </w:tcPr>
          <w:p w14:paraId="376B1554"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1320</w:t>
            </w:r>
          </w:p>
        </w:tc>
        <w:tc>
          <w:tcPr>
            <w:tcW w:w="1134" w:type="dxa"/>
            <w:shd w:val="clear" w:color="auto" w:fill="auto"/>
            <w:noWrap/>
            <w:vAlign w:val="bottom"/>
            <w:hideMark/>
          </w:tcPr>
          <w:p w14:paraId="221DFC27"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20%</w:t>
            </w:r>
          </w:p>
        </w:tc>
        <w:tc>
          <w:tcPr>
            <w:tcW w:w="1134" w:type="dxa"/>
            <w:shd w:val="clear" w:color="auto" w:fill="auto"/>
            <w:vAlign w:val="bottom"/>
          </w:tcPr>
          <w:p w14:paraId="735F2654"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976</w:t>
            </w:r>
          </w:p>
        </w:tc>
        <w:tc>
          <w:tcPr>
            <w:tcW w:w="1134" w:type="dxa"/>
            <w:shd w:val="clear" w:color="auto" w:fill="auto"/>
            <w:vAlign w:val="bottom"/>
          </w:tcPr>
          <w:p w14:paraId="244E4D44"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23%</w:t>
            </w:r>
          </w:p>
        </w:tc>
      </w:tr>
      <w:tr w:rsidR="007244B2" w:rsidRPr="00EB4A49" w14:paraId="16B6DA7D"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3C14F"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18/19</w:t>
            </w:r>
          </w:p>
        </w:tc>
        <w:tc>
          <w:tcPr>
            <w:tcW w:w="1275" w:type="dxa"/>
            <w:tcBorders>
              <w:left w:val="single" w:sz="4" w:space="0" w:color="auto"/>
            </w:tcBorders>
            <w:shd w:val="clear" w:color="auto" w:fill="auto"/>
            <w:noWrap/>
            <w:vAlign w:val="bottom"/>
            <w:hideMark/>
          </w:tcPr>
          <w:p w14:paraId="424BB7A9"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1366</w:t>
            </w:r>
          </w:p>
        </w:tc>
        <w:tc>
          <w:tcPr>
            <w:tcW w:w="1134" w:type="dxa"/>
            <w:shd w:val="clear" w:color="auto" w:fill="auto"/>
            <w:noWrap/>
            <w:vAlign w:val="bottom"/>
            <w:hideMark/>
          </w:tcPr>
          <w:p w14:paraId="6DD19E91"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3%</w:t>
            </w:r>
          </w:p>
        </w:tc>
        <w:tc>
          <w:tcPr>
            <w:tcW w:w="1134" w:type="dxa"/>
            <w:shd w:val="clear" w:color="auto" w:fill="auto"/>
            <w:vAlign w:val="bottom"/>
          </w:tcPr>
          <w:p w14:paraId="1DBD0827"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996</w:t>
            </w:r>
          </w:p>
        </w:tc>
        <w:tc>
          <w:tcPr>
            <w:tcW w:w="1134" w:type="dxa"/>
            <w:shd w:val="clear" w:color="auto" w:fill="auto"/>
            <w:vAlign w:val="bottom"/>
          </w:tcPr>
          <w:p w14:paraId="77EE9429"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2%</w:t>
            </w:r>
          </w:p>
        </w:tc>
      </w:tr>
      <w:tr w:rsidR="007244B2" w:rsidRPr="00EB4A49" w14:paraId="4CE11DB7" w14:textId="77777777" w:rsidTr="008F3229">
        <w:trPr>
          <w:trHeight w:val="28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8AEF8" w14:textId="77777777" w:rsidR="007244B2" w:rsidRPr="00EB4A49" w:rsidRDefault="007244B2" w:rsidP="008F3229">
            <w:pPr>
              <w:spacing w:after="0" w:line="240" w:lineRule="auto"/>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19/20 (estimation</w:t>
            </w:r>
            <w:r w:rsidRPr="00EB4A49">
              <w:rPr>
                <w:rStyle w:val="FootnoteReference"/>
                <w:rFonts w:ascii="Calibri" w:eastAsia="Times New Roman" w:hAnsi="Calibri" w:cs="Calibri"/>
                <w:color w:val="000000"/>
                <w:sz w:val="24"/>
                <w:szCs w:val="24"/>
                <w:lang w:eastAsia="en-GB"/>
              </w:rPr>
              <w:footnoteReference w:id="24"/>
            </w:r>
            <w:r w:rsidRPr="00EB4A49">
              <w:rPr>
                <w:rFonts w:ascii="Calibri" w:eastAsia="Times New Roman" w:hAnsi="Calibri" w:cs="Calibri"/>
                <w:color w:val="000000"/>
                <w:sz w:val="24"/>
                <w:szCs w:val="24"/>
                <w:lang w:eastAsia="en-GB"/>
              </w:rPr>
              <w:t>)</w:t>
            </w:r>
          </w:p>
        </w:tc>
        <w:tc>
          <w:tcPr>
            <w:tcW w:w="1275" w:type="dxa"/>
            <w:tcBorders>
              <w:left w:val="single" w:sz="4" w:space="0" w:color="auto"/>
            </w:tcBorders>
            <w:shd w:val="clear" w:color="auto" w:fill="auto"/>
            <w:noWrap/>
            <w:vAlign w:val="bottom"/>
            <w:hideMark/>
          </w:tcPr>
          <w:p w14:paraId="1C8D5DD3"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1235</w:t>
            </w:r>
          </w:p>
        </w:tc>
        <w:tc>
          <w:tcPr>
            <w:tcW w:w="1134" w:type="dxa"/>
            <w:shd w:val="clear" w:color="auto" w:fill="auto"/>
            <w:noWrap/>
            <w:vAlign w:val="bottom"/>
            <w:hideMark/>
          </w:tcPr>
          <w:p w14:paraId="765539B2"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-10%</w:t>
            </w:r>
          </w:p>
        </w:tc>
        <w:tc>
          <w:tcPr>
            <w:tcW w:w="1134" w:type="dxa"/>
            <w:shd w:val="clear" w:color="auto" w:fill="auto"/>
            <w:vAlign w:val="bottom"/>
          </w:tcPr>
          <w:p w14:paraId="3E935DE5"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939</w:t>
            </w:r>
          </w:p>
        </w:tc>
        <w:tc>
          <w:tcPr>
            <w:tcW w:w="1134" w:type="dxa"/>
            <w:shd w:val="clear" w:color="auto" w:fill="auto"/>
            <w:vAlign w:val="bottom"/>
          </w:tcPr>
          <w:p w14:paraId="3685FA53" w14:textId="77777777" w:rsidR="007244B2" w:rsidRPr="00EB4A49" w:rsidRDefault="007244B2" w:rsidP="008F3229">
            <w:pPr>
              <w:spacing w:after="0" w:line="240" w:lineRule="auto"/>
              <w:jc w:val="right"/>
              <w:rPr>
                <w:rFonts w:ascii="Calibri" w:eastAsia="Times New Roman" w:hAnsi="Calibri" w:cs="Calibri"/>
                <w:color w:val="000000"/>
                <w:sz w:val="24"/>
                <w:szCs w:val="24"/>
                <w:lang w:eastAsia="en-GB"/>
              </w:rPr>
            </w:pPr>
            <w:r w:rsidRPr="00EB4A49">
              <w:rPr>
                <w:rFonts w:ascii="Calibri" w:eastAsia="Times New Roman" w:hAnsi="Calibri" w:cs="Calibri"/>
                <w:color w:val="000000"/>
                <w:sz w:val="24"/>
                <w:szCs w:val="24"/>
                <w:lang w:eastAsia="en-GB"/>
              </w:rPr>
              <w:t>-6%</w:t>
            </w:r>
          </w:p>
        </w:tc>
      </w:tr>
    </w:tbl>
    <w:p w14:paraId="733DCDF8" w14:textId="77777777" w:rsidR="007244B2" w:rsidRPr="00EB4A49" w:rsidRDefault="007244B2" w:rsidP="007244B2">
      <w:pPr>
        <w:rPr>
          <w:rFonts w:asciiTheme="majorHAnsi" w:hAnsiTheme="majorHAnsi" w:cstheme="majorHAnsi"/>
          <w:sz w:val="24"/>
          <w:szCs w:val="24"/>
        </w:rPr>
      </w:pPr>
    </w:p>
    <w:p w14:paraId="251390CA" w14:textId="77777777" w:rsidR="007244B2" w:rsidRPr="00EB4A49" w:rsidRDefault="007244B2" w:rsidP="007244B2">
      <w:pPr>
        <w:rPr>
          <w:rFonts w:asciiTheme="majorHAnsi" w:hAnsiTheme="majorHAnsi" w:cstheme="majorHAnsi"/>
          <w:sz w:val="24"/>
          <w:szCs w:val="24"/>
        </w:rPr>
      </w:pPr>
      <w:r w:rsidRPr="00EB4A49">
        <w:rPr>
          <w:rFonts w:asciiTheme="majorHAnsi" w:hAnsiTheme="majorHAnsi" w:cstheme="majorHAnsi"/>
          <w:sz w:val="24"/>
          <w:szCs w:val="24"/>
        </w:rPr>
        <w:t xml:space="preserve"> </w:t>
      </w:r>
    </w:p>
    <w:p w14:paraId="6B7AF4EB" w14:textId="62624F96" w:rsidR="007244B2" w:rsidRDefault="007244B2" w:rsidP="007244B2">
      <w:pPr>
        <w:rPr>
          <w:rFonts w:asciiTheme="majorHAnsi" w:hAnsiTheme="majorHAnsi" w:cstheme="majorHAnsi"/>
          <w:sz w:val="24"/>
          <w:szCs w:val="24"/>
        </w:rPr>
      </w:pPr>
    </w:p>
    <w:p w14:paraId="6712DD5F" w14:textId="77777777" w:rsidR="007244B2" w:rsidRDefault="007244B2" w:rsidP="009D20B5">
      <w:pPr>
        <w:pStyle w:val="Heading2"/>
        <w:rPr>
          <w:rFonts w:cstheme="majorHAnsi"/>
          <w:sz w:val="24"/>
          <w:szCs w:val="24"/>
        </w:rPr>
      </w:pPr>
      <w:bookmarkStart w:id="14" w:name="_Toc58575074"/>
      <w:r>
        <w:rPr>
          <w:rFonts w:cstheme="majorHAnsi"/>
          <w:sz w:val="24"/>
          <w:szCs w:val="24"/>
        </w:rPr>
        <w:t>SEN-support</w:t>
      </w:r>
      <w:bookmarkEnd w:id="14"/>
    </w:p>
    <w:p w14:paraId="59C3650B" w14:textId="77777777" w:rsidR="007244B2" w:rsidRPr="00EB4A49" w:rsidRDefault="007244B2" w:rsidP="007244B2">
      <w:pPr>
        <w:rPr>
          <w:rFonts w:asciiTheme="majorHAnsi" w:hAnsiTheme="majorHAnsi" w:cstheme="majorHAnsi"/>
          <w:sz w:val="24"/>
          <w:szCs w:val="24"/>
        </w:rPr>
      </w:pPr>
      <w:r w:rsidRPr="00EB4A49">
        <w:rPr>
          <w:rFonts w:asciiTheme="majorHAnsi" w:hAnsiTheme="majorHAnsi" w:cstheme="majorHAnsi"/>
          <w:sz w:val="24"/>
          <w:szCs w:val="24"/>
        </w:rPr>
        <w:t>By contrast, there was been a clear and sustained decrease in the proportion of pupils receiving SEN-support plans across the country between. 2010 and 2015 this fell by a third across England, with similar reductions for pupils in York and York’s CIPFA neighbour areas. Since 2016, these proportions have stabilised, both in York and nationally. This reflects a national ambition set out on the Ofsted Special Educational Needs and Disability review</w:t>
      </w:r>
      <w:r w:rsidRPr="00EB4A49">
        <w:rPr>
          <w:rStyle w:val="FootnoteReference"/>
          <w:sz w:val="24"/>
          <w:szCs w:val="24"/>
        </w:rPr>
        <w:footnoteReference w:id="25"/>
      </w:r>
      <w:r w:rsidRPr="00EB4A49">
        <w:rPr>
          <w:rFonts w:asciiTheme="majorHAnsi" w:hAnsiTheme="majorHAnsi" w:cstheme="majorHAnsi"/>
          <w:sz w:val="24"/>
          <w:szCs w:val="24"/>
        </w:rPr>
        <w:t xml:space="preserve">. </w:t>
      </w:r>
    </w:p>
    <w:p w14:paraId="3808478A" w14:textId="77777777" w:rsidR="007244B2" w:rsidRPr="00EB4A49" w:rsidRDefault="007244B2" w:rsidP="007244B2">
      <w:pPr>
        <w:rPr>
          <w:rFonts w:asciiTheme="majorHAnsi" w:hAnsiTheme="majorHAnsi" w:cstheme="majorHAnsi"/>
          <w:b/>
          <w:sz w:val="24"/>
          <w:szCs w:val="24"/>
        </w:rPr>
      </w:pPr>
      <w:r w:rsidRPr="00EB4A49">
        <w:rPr>
          <w:rFonts w:asciiTheme="majorHAnsi" w:hAnsiTheme="majorHAnsi" w:cstheme="majorHAnsi"/>
          <w:b/>
          <w:noProof/>
          <w:sz w:val="24"/>
          <w:szCs w:val="24"/>
          <w:lang w:eastAsia="en-GB"/>
        </w:rPr>
        <w:lastRenderedPageBreak/>
        <w:drawing>
          <wp:inline distT="0" distB="0" distL="0" distR="0" wp14:anchorId="49553A60" wp14:editId="65AD4605">
            <wp:extent cx="5760000" cy="2880000"/>
            <wp:effectExtent l="0" t="0" r="1270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AD4C3B" w14:textId="77777777" w:rsidR="003942B9" w:rsidRDefault="003942B9" w:rsidP="003942B9">
      <w:pPr>
        <w:rPr>
          <w:sz w:val="24"/>
          <w:szCs w:val="24"/>
        </w:rPr>
      </w:pPr>
    </w:p>
    <w:p w14:paraId="035237C6" w14:textId="4BDB513D" w:rsidR="003942B9" w:rsidRDefault="00A56422" w:rsidP="003942B9">
      <w:pPr>
        <w:rPr>
          <w:sz w:val="24"/>
          <w:szCs w:val="24"/>
        </w:rPr>
      </w:pPr>
      <w:r>
        <w:rPr>
          <w:sz w:val="24"/>
          <w:szCs w:val="24"/>
        </w:rPr>
        <w:t>Looking again in m</w:t>
      </w:r>
      <w:r w:rsidR="00911F35">
        <w:rPr>
          <w:sz w:val="24"/>
          <w:szCs w:val="24"/>
        </w:rPr>
        <w:t>ore detail at both EHCP and SEN-</w:t>
      </w:r>
      <w:r>
        <w:rPr>
          <w:sz w:val="24"/>
          <w:szCs w:val="24"/>
        </w:rPr>
        <w:t>support in the last five years shows differences in the trend between year groups. The</w:t>
      </w:r>
      <w:r w:rsidR="003942B9" w:rsidRPr="00EB4A49">
        <w:rPr>
          <w:sz w:val="24"/>
          <w:szCs w:val="24"/>
        </w:rPr>
        <w:t xml:space="preserve"> year groups of year 6 and year 11 are seeing a sustained rise in the numbers of CYP with an identified special educational need</w:t>
      </w:r>
      <w:r w:rsidR="00D11AAE">
        <w:rPr>
          <w:sz w:val="24"/>
          <w:szCs w:val="24"/>
        </w:rPr>
        <w:t xml:space="preserve"> or disability</w:t>
      </w:r>
      <w:r w:rsidR="003942B9" w:rsidRPr="00EB4A49">
        <w:rPr>
          <w:sz w:val="24"/>
          <w:szCs w:val="24"/>
        </w:rPr>
        <w:t xml:space="preserve">. </w:t>
      </w:r>
      <w:r w:rsidR="003942B9">
        <w:rPr>
          <w:sz w:val="24"/>
          <w:szCs w:val="24"/>
        </w:rPr>
        <w:t xml:space="preserve">These are the two ‘pre-transition years’. </w:t>
      </w:r>
    </w:p>
    <w:p w14:paraId="04AF07F5" w14:textId="33882176" w:rsidR="00C75384" w:rsidRPr="00EB4A49" w:rsidRDefault="003942B9" w:rsidP="003942B9">
      <w:pPr>
        <w:rPr>
          <w:sz w:val="24"/>
          <w:szCs w:val="24"/>
        </w:rPr>
      </w:pPr>
      <w:r>
        <w:rPr>
          <w:sz w:val="24"/>
          <w:szCs w:val="24"/>
        </w:rPr>
        <w:t>It is possible that schools or parents are seeking SEN</w:t>
      </w:r>
      <w:r w:rsidR="00911F35">
        <w:rPr>
          <w:sz w:val="24"/>
          <w:szCs w:val="24"/>
        </w:rPr>
        <w:t>D</w:t>
      </w:r>
      <w:r>
        <w:rPr>
          <w:sz w:val="24"/>
          <w:szCs w:val="24"/>
        </w:rPr>
        <w:t xml:space="preserve"> provision for pupils in anticipation that they will need this additional resource in place for the next stage of their education journey. </w:t>
      </w:r>
      <w:r w:rsidR="002F2954">
        <w:rPr>
          <w:sz w:val="24"/>
          <w:szCs w:val="24"/>
        </w:rPr>
        <w:t>T</w:t>
      </w:r>
      <w:r>
        <w:rPr>
          <w:sz w:val="24"/>
          <w:szCs w:val="24"/>
        </w:rPr>
        <w:t xml:space="preserve">his data alone </w:t>
      </w:r>
      <w:r w:rsidR="002F2954">
        <w:rPr>
          <w:sz w:val="24"/>
          <w:szCs w:val="24"/>
        </w:rPr>
        <w:t>cannot</w:t>
      </w:r>
      <w:r>
        <w:rPr>
          <w:sz w:val="24"/>
          <w:szCs w:val="24"/>
        </w:rPr>
        <w:t xml:space="preserve"> be conclusive</w:t>
      </w:r>
      <w:r w:rsidR="003816F7">
        <w:rPr>
          <w:sz w:val="24"/>
          <w:szCs w:val="24"/>
        </w:rPr>
        <w:t xml:space="preserve">, and requires a further exploration through the deep-dive into the journeys of individual children. </w:t>
      </w:r>
    </w:p>
    <w:p w14:paraId="18C93038" w14:textId="77777777" w:rsidR="003942B9" w:rsidRPr="00EB4A49" w:rsidRDefault="003942B9" w:rsidP="003942B9">
      <w:pPr>
        <w:rPr>
          <w:sz w:val="24"/>
          <w:szCs w:val="24"/>
        </w:rPr>
      </w:pPr>
      <w:r w:rsidRPr="00EB4A49">
        <w:rPr>
          <w:noProof/>
          <w:sz w:val="24"/>
          <w:szCs w:val="24"/>
          <w:lang w:eastAsia="en-GB"/>
        </w:rPr>
        <w:drawing>
          <wp:inline distT="0" distB="0" distL="0" distR="0" wp14:anchorId="43642327" wp14:editId="73A57A3D">
            <wp:extent cx="5610225" cy="2880000"/>
            <wp:effectExtent l="0" t="0" r="9525"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4B9AC4" w14:textId="0C20E2C4" w:rsidR="003942B9" w:rsidRDefault="003942B9" w:rsidP="003942B9">
      <w:pPr>
        <w:rPr>
          <w:sz w:val="24"/>
          <w:szCs w:val="24"/>
        </w:rPr>
      </w:pPr>
      <w:r w:rsidRPr="00EB4A49">
        <w:rPr>
          <w:noProof/>
          <w:sz w:val="24"/>
          <w:szCs w:val="24"/>
          <w:lang w:eastAsia="en-GB"/>
        </w:rPr>
        <w:lastRenderedPageBreak/>
        <w:drawing>
          <wp:inline distT="0" distB="0" distL="0" distR="0" wp14:anchorId="2E4F65A8" wp14:editId="36FB9C4C">
            <wp:extent cx="5662295" cy="2880000"/>
            <wp:effectExtent l="0" t="0" r="1460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A83DB0" w14:textId="2C154D8F" w:rsidR="00C75384" w:rsidRPr="005D1324" w:rsidRDefault="00C75384" w:rsidP="003942B9">
      <w:pPr>
        <w:rPr>
          <w:rFonts w:asciiTheme="majorHAnsi" w:hAnsiTheme="majorHAnsi" w:cstheme="majorHAnsi"/>
          <w:sz w:val="24"/>
          <w:szCs w:val="24"/>
        </w:rPr>
      </w:pPr>
      <w:r w:rsidRPr="005D1324">
        <w:rPr>
          <w:rFonts w:asciiTheme="majorHAnsi" w:hAnsiTheme="majorHAnsi" w:cstheme="majorHAnsi"/>
          <w:sz w:val="24"/>
          <w:szCs w:val="24"/>
        </w:rPr>
        <w:t xml:space="preserve">What was clear from speaking to parents of children and young people with SEND is that the transition points of moving into primary school, secondary school, and post 16 education were very salient for families. Parents often emphasised these years and experiences without prompting. Often, parents focused on themes of communication and planning. Professionals working in this area also express a strategic ambition around good transitions. </w:t>
      </w:r>
    </w:p>
    <w:p w14:paraId="73DEB498" w14:textId="0EAA4A56" w:rsidR="00C75384" w:rsidRPr="004223A3" w:rsidRDefault="00C75384" w:rsidP="003942B9">
      <w:pPr>
        <w:rPr>
          <w:rFonts w:asciiTheme="majorHAnsi" w:hAnsiTheme="majorHAnsi" w:cstheme="majorHAnsi"/>
          <w:sz w:val="24"/>
          <w:szCs w:val="24"/>
        </w:rPr>
      </w:pPr>
      <w:r w:rsidRPr="00C900C2">
        <w:rPr>
          <w:rFonts w:asciiTheme="majorHAnsi" w:hAnsiTheme="majorHAnsi" w:cstheme="majorHAnsi"/>
          <w:b/>
          <w:sz w:val="24"/>
          <w:szCs w:val="24"/>
        </w:rPr>
        <w:t>Recommendation: For</w:t>
      </w:r>
      <w:r w:rsidR="005D1324" w:rsidRPr="00C900C2">
        <w:rPr>
          <w:rFonts w:asciiTheme="majorHAnsi" w:hAnsiTheme="majorHAnsi" w:cstheme="majorHAnsi"/>
          <w:b/>
          <w:sz w:val="24"/>
          <w:szCs w:val="24"/>
        </w:rPr>
        <w:t xml:space="preserve"> the education team to agree the indicators of a high quality transition and to monitor against these as part of a wider dashboard. Parent feedback on the topics of </w:t>
      </w:r>
      <w:r w:rsidR="005D1324" w:rsidRPr="004223A3">
        <w:rPr>
          <w:rFonts w:asciiTheme="majorHAnsi" w:hAnsiTheme="majorHAnsi" w:cstheme="majorHAnsi"/>
          <w:sz w:val="24"/>
          <w:szCs w:val="24"/>
        </w:rPr>
        <w:t xml:space="preserve">communication and planning should be part of this transition indicator set. </w:t>
      </w:r>
    </w:p>
    <w:p w14:paraId="35F26FF4" w14:textId="5EBEEDFA" w:rsidR="004223A3" w:rsidRPr="004223A3" w:rsidRDefault="004223A3" w:rsidP="004223A3">
      <w:pPr>
        <w:pStyle w:val="Heading2"/>
        <w:rPr>
          <w:rFonts w:cstheme="majorHAnsi"/>
          <w:sz w:val="24"/>
          <w:szCs w:val="24"/>
        </w:rPr>
      </w:pPr>
      <w:r w:rsidRPr="004223A3">
        <w:rPr>
          <w:rFonts w:cstheme="majorHAnsi"/>
          <w:sz w:val="24"/>
          <w:szCs w:val="24"/>
        </w:rPr>
        <w:t>Key stage transition</w:t>
      </w:r>
    </w:p>
    <w:p w14:paraId="5DBC671C" w14:textId="63078123" w:rsidR="004223A3" w:rsidRPr="004223A3" w:rsidRDefault="004223A3" w:rsidP="003942B9">
      <w:pPr>
        <w:rPr>
          <w:rFonts w:asciiTheme="majorHAnsi" w:hAnsiTheme="majorHAnsi" w:cstheme="majorHAnsi"/>
          <w:sz w:val="24"/>
          <w:szCs w:val="24"/>
        </w:rPr>
      </w:pPr>
      <w:r w:rsidRPr="004223A3">
        <w:rPr>
          <w:rFonts w:asciiTheme="majorHAnsi" w:hAnsiTheme="majorHAnsi" w:cstheme="majorHAnsi"/>
          <w:sz w:val="24"/>
          <w:szCs w:val="24"/>
        </w:rPr>
        <w:t xml:space="preserve">Throughout this needs assessment, professionals working in education and in SEND have expressed a desire to focus more explicitly on the principles of a good transition between key stages for pupils with SEND. There is work currently underway to look at effective EY-to-primary school transition points, with child outcomes as the core objective metric. </w:t>
      </w:r>
    </w:p>
    <w:p w14:paraId="15436C03" w14:textId="7C6F4237" w:rsidR="004223A3" w:rsidRPr="004223A3" w:rsidRDefault="004223A3" w:rsidP="003942B9">
      <w:pPr>
        <w:rPr>
          <w:rFonts w:asciiTheme="majorHAnsi" w:hAnsiTheme="majorHAnsi" w:cstheme="majorHAnsi"/>
          <w:sz w:val="24"/>
          <w:szCs w:val="24"/>
        </w:rPr>
      </w:pPr>
      <w:r w:rsidRPr="004223A3">
        <w:rPr>
          <w:rFonts w:asciiTheme="majorHAnsi" w:hAnsiTheme="majorHAnsi" w:cstheme="majorHAnsi"/>
          <w:sz w:val="24"/>
          <w:szCs w:val="24"/>
        </w:rPr>
        <w:t>Recommendation: For the SENDIB to extend existing work into EY-to-primary transition to other education transition points. To identify quality assurance metrics for transition, including insight from parents and children/young people both before and after a transition point, as well as specific objective outcome measure.</w:t>
      </w:r>
    </w:p>
    <w:p w14:paraId="0A74E41D" w14:textId="77777777" w:rsidR="004223A3" w:rsidRPr="00C900C2" w:rsidRDefault="004223A3" w:rsidP="003942B9">
      <w:pPr>
        <w:rPr>
          <w:rFonts w:asciiTheme="majorHAnsi" w:hAnsiTheme="majorHAnsi" w:cstheme="majorHAnsi"/>
          <w:b/>
          <w:sz w:val="24"/>
          <w:szCs w:val="24"/>
        </w:rPr>
      </w:pPr>
    </w:p>
    <w:p w14:paraId="656B7A47" w14:textId="77777777" w:rsidR="00D70A74" w:rsidRDefault="00D70A74" w:rsidP="00D70A74">
      <w:pPr>
        <w:pStyle w:val="Heading2"/>
        <w:rPr>
          <w:rFonts w:cstheme="majorHAnsi"/>
          <w:sz w:val="24"/>
          <w:szCs w:val="24"/>
        </w:rPr>
      </w:pPr>
      <w:bookmarkStart w:id="15" w:name="_Toc58575075"/>
      <w:r>
        <w:rPr>
          <w:rFonts w:cstheme="majorHAnsi"/>
          <w:sz w:val="24"/>
          <w:szCs w:val="24"/>
        </w:rPr>
        <w:t>Early years</w:t>
      </w:r>
      <w:bookmarkEnd w:id="15"/>
      <w:r>
        <w:rPr>
          <w:rFonts w:cstheme="majorHAnsi"/>
          <w:sz w:val="24"/>
          <w:szCs w:val="24"/>
        </w:rPr>
        <w:t xml:space="preserve"> </w:t>
      </w:r>
    </w:p>
    <w:p w14:paraId="701D869B" w14:textId="691A52D0" w:rsidR="00D70A74" w:rsidRDefault="00D70A74" w:rsidP="00D70A74">
      <w:pPr>
        <w:rPr>
          <w:rFonts w:asciiTheme="majorHAnsi" w:hAnsiTheme="majorHAnsi" w:cstheme="majorHAnsi"/>
          <w:sz w:val="24"/>
          <w:szCs w:val="24"/>
        </w:rPr>
      </w:pPr>
      <w:r>
        <w:rPr>
          <w:rFonts w:asciiTheme="majorHAnsi" w:hAnsiTheme="majorHAnsi" w:cstheme="majorHAnsi"/>
          <w:sz w:val="24"/>
          <w:szCs w:val="24"/>
        </w:rPr>
        <w:t xml:space="preserve">The Educational psychology service records both a child’s home postcode and EY setting in the individual record, but is only able to report on postcode. </w:t>
      </w:r>
      <w:r w:rsidRPr="00605F95">
        <w:rPr>
          <w:rFonts w:asciiTheme="majorHAnsi" w:hAnsiTheme="majorHAnsi" w:cstheme="majorHAnsi"/>
          <w:sz w:val="24"/>
          <w:szCs w:val="24"/>
        </w:rPr>
        <w:t>There is also a reasonably even spread of young children with Educational Psychology Servi</w:t>
      </w:r>
      <w:r>
        <w:rPr>
          <w:rFonts w:asciiTheme="majorHAnsi" w:hAnsiTheme="majorHAnsi" w:cstheme="majorHAnsi"/>
          <w:sz w:val="24"/>
          <w:szCs w:val="24"/>
        </w:rPr>
        <w:t xml:space="preserve">ce involvement across the city, with some possible clustering in </w:t>
      </w:r>
      <w:r w:rsidRPr="00605F95">
        <w:rPr>
          <w:rFonts w:asciiTheme="majorHAnsi" w:hAnsiTheme="majorHAnsi" w:cstheme="majorHAnsi"/>
          <w:sz w:val="24"/>
          <w:szCs w:val="24"/>
        </w:rPr>
        <w:t>Westfield, Micklegate, and Hew</w:t>
      </w:r>
      <w:r>
        <w:rPr>
          <w:rFonts w:asciiTheme="majorHAnsi" w:hAnsiTheme="majorHAnsi" w:cstheme="majorHAnsi"/>
          <w:sz w:val="24"/>
          <w:szCs w:val="24"/>
        </w:rPr>
        <w:t xml:space="preserve">orth; which together account for a third of the educational psychology service. The low numbers of children accessing portage and also early years funding, mean that is it not possible to form conclusions about the spread of provision. </w:t>
      </w:r>
    </w:p>
    <w:p w14:paraId="37C1E4EA" w14:textId="77777777" w:rsidR="00D70A74" w:rsidRDefault="00D70A74" w:rsidP="00D70A74">
      <w:pPr>
        <w:rPr>
          <w:rFonts w:asciiTheme="majorHAnsi" w:hAnsiTheme="majorHAnsi" w:cstheme="majorHAnsi"/>
          <w:sz w:val="24"/>
          <w:szCs w:val="24"/>
        </w:rPr>
      </w:pPr>
      <w:r>
        <w:rPr>
          <w:rFonts w:asciiTheme="majorHAnsi" w:hAnsiTheme="majorHAnsi" w:cstheme="majorHAnsi"/>
          <w:sz w:val="24"/>
          <w:szCs w:val="24"/>
        </w:rPr>
        <w:lastRenderedPageBreak/>
        <w:t xml:space="preserve">Overall, there is no single early years register for the young children accessing portage, enhanced support through healthy child service, specialist teaching, EPS, or early years funding. </w:t>
      </w:r>
    </w:p>
    <w:p w14:paraId="6A19CA77" w14:textId="7F304EF2" w:rsidR="00D70A74" w:rsidRDefault="00D70A74" w:rsidP="00044E60">
      <w:pPr>
        <w:rPr>
          <w:rFonts w:asciiTheme="majorHAnsi" w:hAnsiTheme="majorHAnsi" w:cstheme="majorHAnsi"/>
          <w:b/>
          <w:sz w:val="24"/>
          <w:szCs w:val="24"/>
        </w:rPr>
      </w:pPr>
      <w:r w:rsidRPr="007145DE">
        <w:rPr>
          <w:rFonts w:asciiTheme="majorHAnsi" w:hAnsiTheme="majorHAnsi" w:cstheme="majorHAnsi"/>
          <w:b/>
          <w:sz w:val="24"/>
          <w:szCs w:val="24"/>
        </w:rPr>
        <w:t>Recommendation: Create a single register of the young children accessing these services, including the child’s home postcode and setting (if attending). This would enable a single view to understand equity of access, and also form a tool for understand</w:t>
      </w:r>
      <w:r>
        <w:rPr>
          <w:rFonts w:asciiTheme="majorHAnsi" w:hAnsiTheme="majorHAnsi" w:cstheme="majorHAnsi"/>
          <w:b/>
          <w:sz w:val="24"/>
          <w:szCs w:val="24"/>
        </w:rPr>
        <w:t>ing the impact of these service.</w:t>
      </w:r>
      <w:r w:rsidRPr="007145DE">
        <w:rPr>
          <w:rFonts w:asciiTheme="majorHAnsi" w:hAnsiTheme="majorHAnsi" w:cstheme="majorHAnsi"/>
          <w:b/>
          <w:sz w:val="24"/>
          <w:szCs w:val="24"/>
        </w:rPr>
        <w:t xml:space="preserve"> </w:t>
      </w:r>
    </w:p>
    <w:p w14:paraId="4BA94039" w14:textId="17EFBD13" w:rsidR="00532E81" w:rsidRDefault="00532E81" w:rsidP="00532E81">
      <w:pPr>
        <w:rPr>
          <w:rFonts w:asciiTheme="majorHAnsi" w:hAnsiTheme="majorHAnsi" w:cstheme="majorHAnsi"/>
          <w:sz w:val="24"/>
          <w:szCs w:val="24"/>
        </w:rPr>
      </w:pPr>
      <w:r>
        <w:rPr>
          <w:rFonts w:asciiTheme="majorHAnsi" w:hAnsiTheme="majorHAnsi" w:cstheme="majorHAnsi"/>
          <w:sz w:val="24"/>
          <w:szCs w:val="24"/>
        </w:rPr>
        <w:t xml:space="preserve">Additional to this, there are young children who parents or professionals have flagged as having an emerging need, or whose development is being carefully monitored </w:t>
      </w:r>
      <w:r w:rsidR="00405DDF">
        <w:rPr>
          <w:rFonts w:asciiTheme="majorHAnsi" w:hAnsiTheme="majorHAnsi" w:cstheme="majorHAnsi"/>
          <w:sz w:val="24"/>
          <w:szCs w:val="24"/>
        </w:rPr>
        <w:t xml:space="preserve">for a possible special educational need or disability. </w:t>
      </w:r>
      <w:r>
        <w:rPr>
          <w:rFonts w:asciiTheme="majorHAnsi" w:hAnsiTheme="majorHAnsi" w:cstheme="majorHAnsi"/>
          <w:sz w:val="24"/>
          <w:szCs w:val="24"/>
        </w:rPr>
        <w:t xml:space="preserve">This process of identification </w:t>
      </w:r>
      <w:r w:rsidRPr="00692E32">
        <w:rPr>
          <w:rFonts w:asciiTheme="majorHAnsi" w:hAnsiTheme="majorHAnsi" w:cstheme="majorHAnsi"/>
          <w:sz w:val="24"/>
          <w:szCs w:val="24"/>
        </w:rPr>
        <w:t xml:space="preserve">of SEND in early years happens across multiple teams, with some children </w:t>
      </w:r>
      <w:r>
        <w:rPr>
          <w:rFonts w:asciiTheme="majorHAnsi" w:hAnsiTheme="majorHAnsi" w:cstheme="majorHAnsi"/>
          <w:sz w:val="24"/>
          <w:szCs w:val="24"/>
        </w:rPr>
        <w:t>being assessed</w:t>
      </w:r>
      <w:r w:rsidRPr="00692E32">
        <w:rPr>
          <w:rFonts w:asciiTheme="majorHAnsi" w:hAnsiTheme="majorHAnsi" w:cstheme="majorHAnsi"/>
          <w:sz w:val="24"/>
          <w:szCs w:val="24"/>
        </w:rPr>
        <w:t xml:space="preserve"> by a </w:t>
      </w:r>
      <w:r>
        <w:rPr>
          <w:rFonts w:asciiTheme="majorHAnsi" w:hAnsiTheme="majorHAnsi" w:cstheme="majorHAnsi"/>
          <w:sz w:val="24"/>
          <w:szCs w:val="24"/>
        </w:rPr>
        <w:t>health clinician within TEWV or York Teaching Hospital</w:t>
      </w:r>
      <w:r w:rsidRPr="00692E32">
        <w:rPr>
          <w:rFonts w:asciiTheme="majorHAnsi" w:hAnsiTheme="majorHAnsi" w:cstheme="majorHAnsi"/>
          <w:sz w:val="24"/>
          <w:szCs w:val="24"/>
        </w:rPr>
        <w:t>, some identified in an early years setting through a specialist teacher, and some identified at home through the health visitor</w:t>
      </w:r>
      <w:r>
        <w:rPr>
          <w:rFonts w:asciiTheme="majorHAnsi" w:hAnsiTheme="majorHAnsi" w:cstheme="majorHAnsi"/>
          <w:sz w:val="24"/>
          <w:szCs w:val="24"/>
        </w:rPr>
        <w:t xml:space="preserve"> from the healthy child service</w:t>
      </w:r>
      <w:r w:rsidRPr="00692E32">
        <w:rPr>
          <w:rFonts w:asciiTheme="majorHAnsi" w:hAnsiTheme="majorHAnsi" w:cstheme="majorHAnsi"/>
          <w:sz w:val="24"/>
          <w:szCs w:val="24"/>
        </w:rPr>
        <w:t xml:space="preserve">. Although these professionals do usually work together where it is in the immediate interest of the child, there is no strategic </w:t>
      </w:r>
      <w:r>
        <w:rPr>
          <w:rFonts w:asciiTheme="majorHAnsi" w:hAnsiTheme="majorHAnsi" w:cstheme="majorHAnsi"/>
          <w:sz w:val="24"/>
          <w:szCs w:val="24"/>
        </w:rPr>
        <w:t>framework</w:t>
      </w:r>
      <w:r w:rsidRPr="00692E32">
        <w:rPr>
          <w:rFonts w:asciiTheme="majorHAnsi" w:hAnsiTheme="majorHAnsi" w:cstheme="majorHAnsi"/>
          <w:sz w:val="24"/>
          <w:szCs w:val="24"/>
        </w:rPr>
        <w:t xml:space="preserve"> to identify all t</w:t>
      </w:r>
      <w:r>
        <w:rPr>
          <w:rFonts w:asciiTheme="majorHAnsi" w:hAnsiTheme="majorHAnsi" w:cstheme="majorHAnsi"/>
          <w:sz w:val="24"/>
          <w:szCs w:val="24"/>
        </w:rPr>
        <w:t>hese children with an</w:t>
      </w:r>
      <w:r w:rsidRPr="00692E32">
        <w:rPr>
          <w:rFonts w:asciiTheme="majorHAnsi" w:hAnsiTheme="majorHAnsi" w:cstheme="majorHAnsi"/>
          <w:sz w:val="24"/>
          <w:szCs w:val="24"/>
        </w:rPr>
        <w:t xml:space="preserve"> emerging </w:t>
      </w:r>
      <w:r>
        <w:rPr>
          <w:rFonts w:asciiTheme="majorHAnsi" w:hAnsiTheme="majorHAnsi" w:cstheme="majorHAnsi"/>
          <w:sz w:val="24"/>
          <w:szCs w:val="24"/>
        </w:rPr>
        <w:t xml:space="preserve">or possible SEND. </w:t>
      </w:r>
    </w:p>
    <w:p w14:paraId="0D1A8FE3" w14:textId="5A134A37" w:rsidR="00405DDF" w:rsidRDefault="00532E81" w:rsidP="00532E81">
      <w:pPr>
        <w:rPr>
          <w:rFonts w:asciiTheme="majorHAnsi" w:hAnsiTheme="majorHAnsi" w:cstheme="majorHAnsi"/>
          <w:sz w:val="24"/>
          <w:szCs w:val="24"/>
        </w:rPr>
      </w:pPr>
      <w:r>
        <w:rPr>
          <w:rFonts w:asciiTheme="majorHAnsi" w:hAnsiTheme="majorHAnsi" w:cstheme="majorHAnsi"/>
          <w:sz w:val="24"/>
          <w:szCs w:val="24"/>
        </w:rPr>
        <w:t>By example, the York healthy child service sees all children in York at a 1 and 2 year health and development review</w:t>
      </w:r>
      <w:r w:rsidR="00405DDF">
        <w:rPr>
          <w:rFonts w:asciiTheme="majorHAnsi" w:hAnsiTheme="majorHAnsi" w:cstheme="majorHAnsi"/>
          <w:sz w:val="24"/>
          <w:szCs w:val="24"/>
        </w:rPr>
        <w:t xml:space="preserve">, and this provides an </w:t>
      </w:r>
      <w:r>
        <w:rPr>
          <w:rFonts w:asciiTheme="majorHAnsi" w:hAnsiTheme="majorHAnsi" w:cstheme="majorHAnsi"/>
          <w:sz w:val="24"/>
          <w:szCs w:val="24"/>
        </w:rPr>
        <w:t xml:space="preserve">opportunity to identify any emerging delay and make timely referrals to SEND or health services. The York healthy child service uses the ‘Ages and Stages’ Questionnaire with parents, this is an opportunity to identify emerging SEND, in particular speech, language, and communication need, using a validated questionnaire. This works well to support individual children, but at present, the systems are </w:t>
      </w:r>
      <w:r w:rsidR="00405DDF">
        <w:rPr>
          <w:rFonts w:asciiTheme="majorHAnsi" w:hAnsiTheme="majorHAnsi" w:cstheme="majorHAnsi"/>
          <w:sz w:val="24"/>
          <w:szCs w:val="24"/>
        </w:rPr>
        <w:t xml:space="preserve">not in place to share ASQ information about the whole cohort or to quality assure routine sharing about individual children. </w:t>
      </w:r>
    </w:p>
    <w:p w14:paraId="17A37983" w14:textId="61D49D9F" w:rsidR="001770EC" w:rsidRDefault="00405DDF" w:rsidP="00405DDF">
      <w:pPr>
        <w:rPr>
          <w:rFonts w:asciiTheme="majorHAnsi" w:hAnsiTheme="majorHAnsi" w:cstheme="majorHAnsi"/>
          <w:sz w:val="24"/>
          <w:szCs w:val="24"/>
        </w:rPr>
      </w:pPr>
      <w:r>
        <w:rPr>
          <w:rFonts w:asciiTheme="majorHAnsi" w:hAnsiTheme="majorHAnsi" w:cstheme="majorHAnsi"/>
          <w:sz w:val="24"/>
          <w:szCs w:val="24"/>
        </w:rPr>
        <w:t xml:space="preserve">Similarly additionally for early years, S23 of the Children and Families Act imposes a duty on health trusts to notify the local authority of any child under the age of five who may have a special educational need and disability. </w:t>
      </w:r>
    </w:p>
    <w:p w14:paraId="186F8D9E" w14:textId="77777777" w:rsidR="001770EC" w:rsidRDefault="001770EC" w:rsidP="001770EC">
      <w:pPr>
        <w:pStyle w:val="Heading2"/>
        <w:rPr>
          <w:rFonts w:cstheme="majorHAnsi"/>
          <w:b/>
          <w:sz w:val="24"/>
          <w:szCs w:val="24"/>
        </w:rPr>
      </w:pPr>
      <w:r>
        <w:rPr>
          <w:rFonts w:cstheme="majorHAnsi"/>
          <w:b/>
          <w:sz w:val="24"/>
          <w:szCs w:val="24"/>
        </w:rPr>
        <w:t>Timely identification of need in early years</w:t>
      </w:r>
    </w:p>
    <w:p w14:paraId="0A98A232" w14:textId="77777777" w:rsidR="001770EC" w:rsidRPr="00DD2E2D" w:rsidRDefault="001770EC" w:rsidP="001770EC">
      <w:pPr>
        <w:rPr>
          <w:rFonts w:asciiTheme="majorHAnsi" w:hAnsiTheme="majorHAnsi" w:cstheme="majorHAnsi"/>
          <w:sz w:val="24"/>
          <w:szCs w:val="24"/>
        </w:rPr>
      </w:pPr>
      <w:r w:rsidRPr="00DD2E2D">
        <w:rPr>
          <w:rFonts w:asciiTheme="majorHAnsi" w:hAnsiTheme="majorHAnsi" w:cstheme="majorHAnsi"/>
          <w:sz w:val="24"/>
          <w:szCs w:val="24"/>
        </w:rPr>
        <w:t xml:space="preserve">The time frame for identification of need will look different for each child, but the SEND improvement board has expressed an ambition to ensure that identification is ‘timely’ in early years, such that it does not impact on a child’s education, wellbeing, or personal development.  </w:t>
      </w:r>
    </w:p>
    <w:p w14:paraId="1C9309B2" w14:textId="77777777" w:rsidR="001770EC" w:rsidRPr="00DD2E2D" w:rsidRDefault="001770EC" w:rsidP="001770EC">
      <w:pPr>
        <w:rPr>
          <w:rFonts w:asciiTheme="majorHAnsi" w:hAnsiTheme="majorHAnsi" w:cstheme="majorHAnsi"/>
          <w:sz w:val="24"/>
          <w:szCs w:val="24"/>
        </w:rPr>
      </w:pPr>
      <w:r w:rsidRPr="00DD2E2D">
        <w:rPr>
          <w:rFonts w:asciiTheme="majorHAnsi" w:hAnsiTheme="majorHAnsi" w:cstheme="majorHAnsi"/>
          <w:sz w:val="24"/>
          <w:szCs w:val="24"/>
        </w:rPr>
        <w:t xml:space="preserve">This will necessitate a focus on the first 1001 days, in line with the York Health and Wellbeing Board strategy. This ambition also necessitates input from multiple organisations and professionals to refer a child who has a potential or suspected SEND. This may be through ‘section 23 notifications’ from hospital trusts, or through referrals from the healthy child service as part of two year old reviews. </w:t>
      </w:r>
    </w:p>
    <w:p w14:paraId="4FE7A79D" w14:textId="41F6B6C7" w:rsidR="001770EC" w:rsidRPr="00DD2E2D" w:rsidRDefault="001770EC" w:rsidP="001770EC">
      <w:pPr>
        <w:rPr>
          <w:rFonts w:asciiTheme="majorHAnsi" w:hAnsiTheme="majorHAnsi" w:cstheme="majorHAnsi"/>
          <w:sz w:val="24"/>
          <w:szCs w:val="24"/>
        </w:rPr>
      </w:pPr>
      <w:r w:rsidRPr="00DD2E2D">
        <w:rPr>
          <w:rFonts w:asciiTheme="majorHAnsi" w:hAnsiTheme="majorHAnsi" w:cstheme="majorHAnsi"/>
          <w:sz w:val="24"/>
          <w:szCs w:val="24"/>
        </w:rPr>
        <w:t xml:space="preserve">At present, these </w:t>
      </w:r>
      <w:r w:rsidR="004223A3" w:rsidRPr="00DD2E2D">
        <w:rPr>
          <w:rFonts w:asciiTheme="majorHAnsi" w:hAnsiTheme="majorHAnsi" w:cstheme="majorHAnsi"/>
          <w:sz w:val="24"/>
          <w:szCs w:val="24"/>
        </w:rPr>
        <w:t>types’</w:t>
      </w:r>
      <w:r w:rsidRPr="00DD2E2D">
        <w:rPr>
          <w:rFonts w:asciiTheme="majorHAnsi" w:hAnsiTheme="majorHAnsi" w:cstheme="majorHAnsi"/>
          <w:sz w:val="24"/>
          <w:szCs w:val="24"/>
        </w:rPr>
        <w:t xml:space="preserve"> referral processes are in place and are utilised by practitioners</w:t>
      </w:r>
      <w:r w:rsidR="004223A3" w:rsidRPr="00DD2E2D">
        <w:rPr>
          <w:rFonts w:asciiTheme="majorHAnsi" w:hAnsiTheme="majorHAnsi" w:cstheme="majorHAnsi"/>
          <w:sz w:val="24"/>
          <w:szCs w:val="24"/>
        </w:rPr>
        <w:t>. H</w:t>
      </w:r>
      <w:r w:rsidRPr="00DD2E2D">
        <w:rPr>
          <w:rFonts w:asciiTheme="majorHAnsi" w:hAnsiTheme="majorHAnsi" w:cstheme="majorHAnsi"/>
          <w:sz w:val="24"/>
          <w:szCs w:val="24"/>
        </w:rPr>
        <w:t xml:space="preserve">owever there is </w:t>
      </w:r>
      <w:r w:rsidR="004223A3" w:rsidRPr="00DD2E2D">
        <w:rPr>
          <w:rFonts w:asciiTheme="majorHAnsi" w:hAnsiTheme="majorHAnsi" w:cstheme="majorHAnsi"/>
          <w:sz w:val="24"/>
          <w:szCs w:val="24"/>
        </w:rPr>
        <w:t>limited</w:t>
      </w:r>
      <w:r w:rsidRPr="00DD2E2D">
        <w:rPr>
          <w:rFonts w:asciiTheme="majorHAnsi" w:hAnsiTheme="majorHAnsi" w:cstheme="majorHAnsi"/>
          <w:sz w:val="24"/>
          <w:szCs w:val="24"/>
        </w:rPr>
        <w:t xml:space="preserve"> quality assurance process available to the SEND improvement</w:t>
      </w:r>
      <w:r w:rsidR="004223A3" w:rsidRPr="00DD2E2D">
        <w:rPr>
          <w:rFonts w:asciiTheme="majorHAnsi" w:hAnsiTheme="majorHAnsi" w:cstheme="majorHAnsi"/>
          <w:sz w:val="24"/>
          <w:szCs w:val="24"/>
        </w:rPr>
        <w:t xml:space="preserve"> board, and as such the pathway and policies are under review.</w:t>
      </w:r>
    </w:p>
    <w:p w14:paraId="0516037C" w14:textId="77777777" w:rsidR="001770EC" w:rsidRDefault="001770EC" w:rsidP="001770EC">
      <w:pPr>
        <w:rPr>
          <w:rFonts w:asciiTheme="majorHAnsi" w:hAnsiTheme="majorHAnsi" w:cstheme="majorHAnsi"/>
          <w:b/>
          <w:sz w:val="24"/>
          <w:szCs w:val="24"/>
        </w:rPr>
      </w:pPr>
      <w:r>
        <w:rPr>
          <w:rFonts w:asciiTheme="majorHAnsi" w:hAnsiTheme="majorHAnsi" w:cstheme="majorHAnsi"/>
          <w:b/>
          <w:sz w:val="24"/>
          <w:szCs w:val="24"/>
        </w:rPr>
        <w:lastRenderedPageBreak/>
        <w:t xml:space="preserve">Recommendation: For the SEND improvement board to identify a quality assurance process that addresses whether need identification in early years is timely and efficient. </w:t>
      </w:r>
    </w:p>
    <w:p w14:paraId="6A9642BC" w14:textId="2822598E" w:rsidR="00D70A74" w:rsidRDefault="00D70A74" w:rsidP="00044E60">
      <w:pPr>
        <w:rPr>
          <w:rFonts w:asciiTheme="majorHAnsi" w:hAnsiTheme="majorHAnsi" w:cstheme="majorHAnsi"/>
          <w:sz w:val="24"/>
          <w:szCs w:val="24"/>
        </w:rPr>
      </w:pPr>
    </w:p>
    <w:p w14:paraId="32E46FE1" w14:textId="538FD784" w:rsidR="00F65A6F" w:rsidRPr="00605F95" w:rsidRDefault="009D20B5" w:rsidP="00605F95">
      <w:pPr>
        <w:pStyle w:val="Heading1"/>
        <w:rPr>
          <w:rFonts w:cstheme="majorHAnsi"/>
          <w:b/>
          <w:sz w:val="24"/>
          <w:szCs w:val="24"/>
        </w:rPr>
      </w:pPr>
      <w:bookmarkStart w:id="16" w:name="_Toc58575076"/>
      <w:r>
        <w:rPr>
          <w:rFonts w:cstheme="majorHAnsi"/>
          <w:b/>
          <w:sz w:val="24"/>
          <w:szCs w:val="24"/>
        </w:rPr>
        <w:t>Geography and Population Demographics</w:t>
      </w:r>
      <w:bookmarkEnd w:id="16"/>
    </w:p>
    <w:p w14:paraId="79742663" w14:textId="77777777" w:rsidR="002815CA" w:rsidRDefault="002815CA" w:rsidP="00605F95">
      <w:pPr>
        <w:rPr>
          <w:rFonts w:cstheme="minorHAnsi"/>
          <w:sz w:val="24"/>
          <w:szCs w:val="24"/>
        </w:rPr>
      </w:pPr>
    </w:p>
    <w:p w14:paraId="3CC20F55" w14:textId="29222F6E" w:rsidR="00EF0835" w:rsidRPr="007145DE" w:rsidRDefault="00EF0835" w:rsidP="00605F95">
      <w:pPr>
        <w:rPr>
          <w:rFonts w:cstheme="minorHAnsi"/>
          <w:sz w:val="24"/>
          <w:szCs w:val="24"/>
        </w:rPr>
      </w:pPr>
      <w:r w:rsidRPr="007145DE">
        <w:rPr>
          <w:rFonts w:cstheme="minorHAnsi"/>
          <w:sz w:val="24"/>
          <w:szCs w:val="24"/>
        </w:rPr>
        <w:t>This section looks in detail at different ways of exploring population geography; the ward a child lives in, the school a child attends, whether th</w:t>
      </w:r>
      <w:r w:rsidR="002815CA">
        <w:rPr>
          <w:rFonts w:cstheme="minorHAnsi"/>
          <w:sz w:val="24"/>
          <w:szCs w:val="24"/>
        </w:rPr>
        <w:t xml:space="preserve">e child has free school meals, </w:t>
      </w:r>
      <w:r w:rsidRPr="007145DE">
        <w:rPr>
          <w:rFonts w:cstheme="minorHAnsi"/>
          <w:sz w:val="24"/>
          <w:szCs w:val="24"/>
        </w:rPr>
        <w:t xml:space="preserve">and the deprivation marker for the area the child lives. </w:t>
      </w:r>
    </w:p>
    <w:p w14:paraId="2B1F2DC0" w14:textId="361E8B33" w:rsidR="00EF0835" w:rsidRPr="007145DE" w:rsidRDefault="00EF0835" w:rsidP="00605F95">
      <w:pPr>
        <w:rPr>
          <w:rFonts w:cstheme="minorHAnsi"/>
          <w:sz w:val="24"/>
          <w:szCs w:val="24"/>
        </w:rPr>
      </w:pPr>
      <w:r w:rsidRPr="007145DE">
        <w:rPr>
          <w:rFonts w:cstheme="minorHAnsi"/>
          <w:sz w:val="24"/>
          <w:szCs w:val="24"/>
        </w:rPr>
        <w:t xml:space="preserve">The data for early years children is quite limited, and so it is not possible to do much analysis. The recommendations are about improving the data quality. </w:t>
      </w:r>
    </w:p>
    <w:p w14:paraId="33653F2B" w14:textId="537F63D7" w:rsidR="00353C0C" w:rsidRPr="007145DE" w:rsidRDefault="00EF0835" w:rsidP="00605F95">
      <w:pPr>
        <w:rPr>
          <w:rFonts w:cstheme="minorHAnsi"/>
          <w:sz w:val="24"/>
          <w:szCs w:val="24"/>
        </w:rPr>
      </w:pPr>
      <w:r w:rsidRPr="007145DE">
        <w:rPr>
          <w:rFonts w:cstheme="minorHAnsi"/>
          <w:sz w:val="24"/>
          <w:szCs w:val="24"/>
        </w:rPr>
        <w:t xml:space="preserve">The data for school age children is more complete, and the detail of the trends is set out below. Overall, there is less of a clear link with deprivation than might be expected. </w:t>
      </w:r>
      <w:r w:rsidR="00353C0C">
        <w:rPr>
          <w:rFonts w:cstheme="minorHAnsi"/>
          <w:sz w:val="24"/>
          <w:szCs w:val="24"/>
        </w:rPr>
        <w:t xml:space="preserve">With a deprivation-SEND correlation loosely visible when looking at measures linked to a child’s home address, but not visible when looking at measures linked to the child’s school setting. </w:t>
      </w:r>
      <w:r w:rsidRPr="007145DE">
        <w:rPr>
          <w:rFonts w:cstheme="minorHAnsi"/>
          <w:sz w:val="24"/>
          <w:szCs w:val="24"/>
        </w:rPr>
        <w:t xml:space="preserve">This is </w:t>
      </w:r>
      <w:r w:rsidR="002815CA">
        <w:rPr>
          <w:rFonts w:cstheme="minorHAnsi"/>
          <w:sz w:val="24"/>
          <w:szCs w:val="24"/>
        </w:rPr>
        <w:t xml:space="preserve">interesting </w:t>
      </w:r>
      <w:r w:rsidRPr="007145DE">
        <w:rPr>
          <w:rFonts w:cstheme="minorHAnsi"/>
          <w:sz w:val="24"/>
          <w:szCs w:val="24"/>
        </w:rPr>
        <w:t>because national evidence from many sources show a clear link between deprivation and SEND</w:t>
      </w:r>
      <w:r w:rsidRPr="007145DE">
        <w:rPr>
          <w:rStyle w:val="FootnoteReference"/>
          <w:rFonts w:cstheme="minorHAnsi"/>
          <w:sz w:val="24"/>
          <w:szCs w:val="24"/>
        </w:rPr>
        <w:footnoteReference w:id="26"/>
      </w:r>
      <w:r w:rsidRPr="007145DE">
        <w:rPr>
          <w:rFonts w:cstheme="minorHAnsi"/>
          <w:sz w:val="24"/>
          <w:szCs w:val="24"/>
        </w:rPr>
        <w:t xml:space="preserve">. </w:t>
      </w:r>
      <w:r w:rsidR="008652EC" w:rsidRPr="007145DE">
        <w:rPr>
          <w:rFonts w:cstheme="minorHAnsi"/>
          <w:sz w:val="24"/>
          <w:szCs w:val="24"/>
        </w:rPr>
        <w:t xml:space="preserve"> This leads to two possible conclusions. It is possible that there is </w:t>
      </w:r>
      <w:r w:rsidR="007145DE" w:rsidRPr="007145DE">
        <w:rPr>
          <w:rFonts w:cstheme="minorHAnsi"/>
          <w:sz w:val="24"/>
          <w:szCs w:val="24"/>
        </w:rPr>
        <w:t>something unique about York which</w:t>
      </w:r>
      <w:r w:rsidR="008652EC" w:rsidRPr="007145DE">
        <w:rPr>
          <w:rFonts w:cstheme="minorHAnsi"/>
          <w:sz w:val="24"/>
          <w:szCs w:val="24"/>
        </w:rPr>
        <w:t xml:space="preserve"> means </w:t>
      </w:r>
      <w:r w:rsidR="00353C0C">
        <w:rPr>
          <w:rFonts w:cstheme="minorHAnsi"/>
          <w:sz w:val="24"/>
          <w:szCs w:val="24"/>
        </w:rPr>
        <w:t xml:space="preserve">that the differences between </w:t>
      </w:r>
      <w:r w:rsidR="008652EC" w:rsidRPr="007145DE">
        <w:rPr>
          <w:rFonts w:cstheme="minorHAnsi"/>
          <w:sz w:val="24"/>
          <w:szCs w:val="24"/>
        </w:rPr>
        <w:t xml:space="preserve">deprived and non-deprived </w:t>
      </w:r>
      <w:r w:rsidR="00D56888" w:rsidRPr="007145DE">
        <w:rPr>
          <w:rFonts w:cstheme="minorHAnsi"/>
          <w:sz w:val="24"/>
          <w:szCs w:val="24"/>
        </w:rPr>
        <w:t xml:space="preserve">children and </w:t>
      </w:r>
      <w:r w:rsidR="008652EC" w:rsidRPr="007145DE">
        <w:rPr>
          <w:rFonts w:cstheme="minorHAnsi"/>
          <w:sz w:val="24"/>
          <w:szCs w:val="24"/>
        </w:rPr>
        <w:t>young people</w:t>
      </w:r>
      <w:r w:rsidR="00D56888" w:rsidRPr="007145DE">
        <w:rPr>
          <w:rFonts w:cstheme="minorHAnsi"/>
          <w:sz w:val="24"/>
          <w:szCs w:val="24"/>
        </w:rPr>
        <w:t xml:space="preserve"> are</w:t>
      </w:r>
      <w:r w:rsidR="00353C0C">
        <w:rPr>
          <w:rFonts w:cstheme="minorHAnsi"/>
          <w:sz w:val="24"/>
          <w:szCs w:val="24"/>
        </w:rPr>
        <w:t xml:space="preserve"> smaller</w:t>
      </w:r>
      <w:r w:rsidR="00D56888" w:rsidRPr="007145DE">
        <w:rPr>
          <w:rFonts w:cstheme="minorHAnsi"/>
          <w:sz w:val="24"/>
          <w:szCs w:val="24"/>
        </w:rPr>
        <w:t xml:space="preserve">. It is also possible that there is something in the way SEND is understood or </w:t>
      </w:r>
      <w:r w:rsidR="008B5F80" w:rsidRPr="007145DE">
        <w:rPr>
          <w:rFonts w:cstheme="minorHAnsi"/>
          <w:sz w:val="24"/>
          <w:szCs w:val="24"/>
        </w:rPr>
        <w:t xml:space="preserve">identified </w:t>
      </w:r>
      <w:r w:rsidR="00D56888" w:rsidRPr="007145DE">
        <w:rPr>
          <w:rFonts w:cstheme="minorHAnsi"/>
          <w:sz w:val="24"/>
          <w:szCs w:val="24"/>
        </w:rPr>
        <w:t xml:space="preserve">in York which is </w:t>
      </w:r>
      <w:r w:rsidR="00353C0C">
        <w:rPr>
          <w:rFonts w:cstheme="minorHAnsi"/>
          <w:sz w:val="24"/>
          <w:szCs w:val="24"/>
        </w:rPr>
        <w:t xml:space="preserve">influencing these trends. </w:t>
      </w:r>
      <w:r w:rsidR="008B5F80" w:rsidRPr="007145DE">
        <w:rPr>
          <w:rFonts w:cstheme="minorHAnsi"/>
          <w:sz w:val="24"/>
          <w:szCs w:val="24"/>
        </w:rPr>
        <w:t xml:space="preserve"> </w:t>
      </w:r>
    </w:p>
    <w:p w14:paraId="43F6BDFA" w14:textId="5C60130E" w:rsidR="00353C0C" w:rsidRDefault="00DD2E2D" w:rsidP="00353C0C">
      <w:pPr>
        <w:rPr>
          <w:rFonts w:asciiTheme="majorHAnsi" w:hAnsiTheme="majorHAnsi" w:cstheme="majorHAnsi"/>
          <w:b/>
          <w:sz w:val="24"/>
          <w:szCs w:val="24"/>
        </w:rPr>
      </w:pPr>
      <w:r>
        <w:rPr>
          <w:rFonts w:asciiTheme="majorHAnsi" w:hAnsiTheme="majorHAnsi" w:cstheme="majorHAnsi"/>
          <w:b/>
          <w:sz w:val="24"/>
          <w:szCs w:val="24"/>
        </w:rPr>
        <w:t>R</w:t>
      </w:r>
      <w:r w:rsidR="00353C0C" w:rsidRPr="00353C0C">
        <w:rPr>
          <w:rFonts w:asciiTheme="majorHAnsi" w:hAnsiTheme="majorHAnsi" w:cstheme="majorHAnsi"/>
          <w:b/>
          <w:sz w:val="24"/>
          <w:szCs w:val="24"/>
        </w:rPr>
        <w:t xml:space="preserve">ecommendation: </w:t>
      </w:r>
      <w:r w:rsidR="00353C0C">
        <w:rPr>
          <w:rFonts w:asciiTheme="majorHAnsi" w:hAnsiTheme="majorHAnsi" w:cstheme="majorHAnsi"/>
          <w:b/>
          <w:sz w:val="24"/>
          <w:szCs w:val="24"/>
        </w:rPr>
        <w:t xml:space="preserve">To build on an earlier recommendation </w:t>
      </w:r>
      <w:r w:rsidR="00353C0C" w:rsidRPr="00C16C08">
        <w:rPr>
          <w:rFonts w:asciiTheme="majorHAnsi" w:hAnsiTheme="majorHAnsi" w:cstheme="majorHAnsi"/>
          <w:b/>
          <w:sz w:val="24"/>
          <w:szCs w:val="24"/>
        </w:rPr>
        <w:t xml:space="preserve">For the SEND improvement board to work with the </w:t>
      </w:r>
      <w:r w:rsidR="00353C0C">
        <w:rPr>
          <w:rFonts w:asciiTheme="majorHAnsi" w:hAnsiTheme="majorHAnsi" w:cstheme="majorHAnsi"/>
          <w:b/>
          <w:sz w:val="24"/>
          <w:szCs w:val="24"/>
        </w:rPr>
        <w:t>York Schools and Academies board to have consistent identification and reporting on both the EHCP and the SEN-support cohort</w:t>
      </w:r>
      <w:r w:rsidR="00460A21" w:rsidRPr="00460A21">
        <w:rPr>
          <w:rFonts w:asciiTheme="majorHAnsi" w:hAnsiTheme="majorHAnsi" w:cstheme="majorHAnsi"/>
          <w:b/>
          <w:sz w:val="24"/>
          <w:szCs w:val="24"/>
        </w:rPr>
        <w:t xml:space="preserve"> </w:t>
      </w:r>
      <w:r w:rsidR="00460A21">
        <w:rPr>
          <w:rFonts w:asciiTheme="majorHAnsi" w:hAnsiTheme="majorHAnsi" w:cstheme="majorHAnsi"/>
          <w:b/>
          <w:sz w:val="24"/>
          <w:szCs w:val="24"/>
        </w:rPr>
        <w:t>this time with particular focus on factors that are linked to deprivation and home postcode geography</w:t>
      </w:r>
      <w:r w:rsidR="00353C0C">
        <w:rPr>
          <w:rFonts w:asciiTheme="majorHAnsi" w:hAnsiTheme="majorHAnsi" w:cstheme="majorHAnsi"/>
          <w:b/>
          <w:sz w:val="24"/>
          <w:szCs w:val="24"/>
        </w:rPr>
        <w:t xml:space="preserve">. This is to inform commissioning and sufficiency planning for the whole city. </w:t>
      </w:r>
    </w:p>
    <w:p w14:paraId="5D1372AC" w14:textId="3CE063BF" w:rsidR="00EF0835" w:rsidRDefault="00EF0835" w:rsidP="00605F95">
      <w:pPr>
        <w:rPr>
          <w:rFonts w:cstheme="majorHAnsi"/>
          <w:sz w:val="24"/>
          <w:szCs w:val="24"/>
        </w:rPr>
      </w:pPr>
    </w:p>
    <w:p w14:paraId="23E3FB90" w14:textId="77777777" w:rsidR="00353C0C" w:rsidRPr="00EB4A49" w:rsidRDefault="00353C0C" w:rsidP="00353C0C">
      <w:pPr>
        <w:pStyle w:val="Heading2"/>
        <w:rPr>
          <w:rFonts w:cstheme="majorHAnsi"/>
          <w:sz w:val="24"/>
          <w:szCs w:val="24"/>
        </w:rPr>
      </w:pPr>
      <w:bookmarkStart w:id="17" w:name="_Toc58575077"/>
      <w:r w:rsidRPr="00EB4A49">
        <w:rPr>
          <w:rFonts w:cstheme="majorHAnsi"/>
          <w:sz w:val="24"/>
          <w:szCs w:val="24"/>
        </w:rPr>
        <w:t>School specific prevalence of need</w:t>
      </w:r>
      <w:bookmarkEnd w:id="17"/>
    </w:p>
    <w:p w14:paraId="7C367B95" w14:textId="77777777" w:rsidR="00353C0C" w:rsidRPr="00EB4A49" w:rsidRDefault="00353C0C" w:rsidP="00353C0C">
      <w:pPr>
        <w:rPr>
          <w:rFonts w:asciiTheme="majorHAnsi" w:hAnsiTheme="majorHAnsi" w:cstheme="majorHAnsi"/>
          <w:sz w:val="24"/>
          <w:szCs w:val="24"/>
        </w:rPr>
      </w:pPr>
      <w:r w:rsidRPr="00EB4A49">
        <w:rPr>
          <w:rFonts w:asciiTheme="majorHAnsi" w:hAnsiTheme="majorHAnsi" w:cstheme="majorHAnsi"/>
          <w:sz w:val="24"/>
          <w:szCs w:val="24"/>
        </w:rPr>
        <w:t>The proportion of children and young people with special educational need</w:t>
      </w:r>
      <w:r>
        <w:rPr>
          <w:rFonts w:asciiTheme="majorHAnsi" w:hAnsiTheme="majorHAnsi" w:cstheme="majorHAnsi"/>
          <w:sz w:val="24"/>
          <w:szCs w:val="24"/>
        </w:rPr>
        <w:t>s</w:t>
      </w:r>
      <w:r w:rsidRPr="00EB4A49">
        <w:rPr>
          <w:rFonts w:asciiTheme="majorHAnsi" w:hAnsiTheme="majorHAnsi" w:cstheme="majorHAnsi"/>
          <w:sz w:val="24"/>
          <w:szCs w:val="24"/>
        </w:rPr>
        <w:t xml:space="preserve"> </w:t>
      </w:r>
      <w:r>
        <w:rPr>
          <w:rFonts w:asciiTheme="majorHAnsi" w:hAnsiTheme="majorHAnsi" w:cstheme="majorHAnsi"/>
          <w:sz w:val="24"/>
          <w:szCs w:val="24"/>
        </w:rPr>
        <w:t xml:space="preserve">and disabilities </w:t>
      </w:r>
      <w:r w:rsidRPr="00EB4A49">
        <w:rPr>
          <w:rFonts w:asciiTheme="majorHAnsi" w:hAnsiTheme="majorHAnsi" w:cstheme="majorHAnsi"/>
          <w:sz w:val="24"/>
          <w:szCs w:val="24"/>
        </w:rPr>
        <w:t xml:space="preserve">varies quite a lot from school to school. </w:t>
      </w:r>
    </w:p>
    <w:p w14:paraId="512FECC7" w14:textId="77777777" w:rsidR="00353C0C" w:rsidRPr="00EB4A49" w:rsidRDefault="00353C0C" w:rsidP="00353C0C">
      <w:pPr>
        <w:rPr>
          <w:rFonts w:asciiTheme="majorHAnsi" w:hAnsiTheme="majorHAnsi" w:cstheme="majorHAnsi"/>
          <w:sz w:val="24"/>
          <w:szCs w:val="24"/>
        </w:rPr>
      </w:pPr>
      <w:r w:rsidRPr="00EB4A49">
        <w:rPr>
          <w:rFonts w:asciiTheme="majorHAnsi" w:hAnsiTheme="majorHAnsi" w:cstheme="majorHAnsi"/>
          <w:sz w:val="24"/>
          <w:szCs w:val="24"/>
        </w:rPr>
        <w:t xml:space="preserve">Mainstream primary schools </w:t>
      </w:r>
    </w:p>
    <w:p w14:paraId="369B6CA1"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There is no correlation between the proportion of pupils with an EHCP and the size of the school.</w:t>
      </w:r>
    </w:p>
    <w:p w14:paraId="03A32A45"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There is no correlation between the proportion of pupils with SEN-support and the size of the school.</w:t>
      </w:r>
    </w:p>
    <w:p w14:paraId="25993B03"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 xml:space="preserve">There is no correlation between the proportion of pupils with an EHCP and the proportion receiving free school meals. </w:t>
      </w:r>
    </w:p>
    <w:p w14:paraId="0279A06F" w14:textId="77777777" w:rsidR="00353C0C" w:rsidRPr="00EB4A49" w:rsidRDefault="00353C0C" w:rsidP="00353C0C">
      <w:pPr>
        <w:pStyle w:val="ListParagraph"/>
        <w:numPr>
          <w:ilvl w:val="0"/>
          <w:numId w:val="14"/>
        </w:numPr>
        <w:rPr>
          <w:rFonts w:asciiTheme="majorHAnsi" w:hAnsiTheme="majorHAnsi" w:cstheme="majorHAnsi"/>
          <w:sz w:val="24"/>
          <w:szCs w:val="24"/>
        </w:rPr>
      </w:pPr>
      <w:r>
        <w:rPr>
          <w:rFonts w:asciiTheme="majorHAnsi" w:hAnsiTheme="majorHAnsi" w:cstheme="majorHAnsi"/>
          <w:sz w:val="24"/>
          <w:szCs w:val="24"/>
        </w:rPr>
        <w:lastRenderedPageBreak/>
        <w:t>There is a weak</w:t>
      </w:r>
      <w:r w:rsidRPr="00EB4A49">
        <w:rPr>
          <w:rFonts w:asciiTheme="majorHAnsi" w:hAnsiTheme="majorHAnsi" w:cstheme="majorHAnsi"/>
          <w:sz w:val="24"/>
          <w:szCs w:val="24"/>
        </w:rPr>
        <w:t xml:space="preserve"> correlation</w:t>
      </w:r>
      <w:r w:rsidRPr="00EB4A49">
        <w:rPr>
          <w:rStyle w:val="FootnoteReference"/>
          <w:rFonts w:asciiTheme="majorHAnsi" w:hAnsiTheme="majorHAnsi" w:cstheme="majorHAnsi"/>
          <w:sz w:val="24"/>
          <w:szCs w:val="24"/>
        </w:rPr>
        <w:footnoteReference w:id="27"/>
      </w:r>
      <w:r w:rsidRPr="00EB4A49">
        <w:rPr>
          <w:rFonts w:asciiTheme="majorHAnsi" w:hAnsiTheme="majorHAnsi" w:cstheme="majorHAnsi"/>
          <w:sz w:val="24"/>
          <w:szCs w:val="24"/>
        </w:rPr>
        <w:t xml:space="preserve"> between the proportion of pupils with SEN-support and the proportion receiving free school meals, whereby maintained primary schools with a greater proportion of SEN-support pupils also tended to have a greater proportion of FSM pupils.</w:t>
      </w:r>
    </w:p>
    <w:p w14:paraId="0F0C7A99"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 xml:space="preserve">There is no correlation between the size of the schools EHCP population and the size of the SEN-support population.   </w:t>
      </w:r>
    </w:p>
    <w:p w14:paraId="6CC802DE" w14:textId="77777777" w:rsidR="00353C0C" w:rsidRPr="00EB4A49" w:rsidRDefault="00353C0C" w:rsidP="00353C0C">
      <w:pPr>
        <w:rPr>
          <w:rFonts w:asciiTheme="majorHAnsi" w:hAnsiTheme="majorHAnsi" w:cstheme="majorHAnsi"/>
          <w:sz w:val="24"/>
          <w:szCs w:val="24"/>
        </w:rPr>
      </w:pPr>
      <w:r w:rsidRPr="00EB4A49">
        <w:rPr>
          <w:rFonts w:asciiTheme="majorHAnsi" w:hAnsiTheme="majorHAnsi" w:cstheme="majorHAnsi"/>
          <w:sz w:val="24"/>
          <w:szCs w:val="24"/>
        </w:rPr>
        <w:t xml:space="preserve">Secondary mainstream maintained schools </w:t>
      </w:r>
    </w:p>
    <w:p w14:paraId="5022F3D6"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There is no correlation between the proportion of pupils with an EHCP and the size of the school.</w:t>
      </w:r>
    </w:p>
    <w:p w14:paraId="67F135E0"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There is no correlation between the proportion of pupils with SEN-support and the size of the school.</w:t>
      </w:r>
    </w:p>
    <w:p w14:paraId="2BACCA1D"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 xml:space="preserve">There is no correlation between the proportion of pupils with an EHCP and the proportion receiving free school meals. </w:t>
      </w:r>
    </w:p>
    <w:p w14:paraId="1ED2780E" w14:textId="77777777" w:rsidR="00353C0C" w:rsidRPr="00EB4A49"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 xml:space="preserve">There is no correlation between the proportion of pupils with a SEN-support and the proportion receiving free school meals. </w:t>
      </w:r>
    </w:p>
    <w:p w14:paraId="0B546970" w14:textId="77777777" w:rsidR="00353C0C" w:rsidRDefault="00353C0C" w:rsidP="00353C0C">
      <w:pPr>
        <w:pStyle w:val="ListParagraph"/>
        <w:numPr>
          <w:ilvl w:val="0"/>
          <w:numId w:val="14"/>
        </w:numPr>
        <w:rPr>
          <w:rFonts w:asciiTheme="majorHAnsi" w:hAnsiTheme="majorHAnsi" w:cstheme="majorHAnsi"/>
          <w:sz w:val="24"/>
          <w:szCs w:val="24"/>
        </w:rPr>
      </w:pPr>
      <w:r w:rsidRPr="00EB4A49">
        <w:rPr>
          <w:rFonts w:asciiTheme="majorHAnsi" w:hAnsiTheme="majorHAnsi" w:cstheme="majorHAnsi"/>
          <w:sz w:val="24"/>
          <w:szCs w:val="24"/>
        </w:rPr>
        <w:t xml:space="preserve">There is no correlation between the size of the schools EHCP population and the size of the SEN-support population.   </w:t>
      </w:r>
    </w:p>
    <w:p w14:paraId="60A6B4D4" w14:textId="77777777" w:rsidR="00353C0C" w:rsidRDefault="00353C0C" w:rsidP="00353C0C">
      <w:pPr>
        <w:rPr>
          <w:rFonts w:asciiTheme="majorHAnsi" w:hAnsiTheme="majorHAnsi" w:cstheme="majorHAnsi"/>
          <w:sz w:val="24"/>
          <w:szCs w:val="24"/>
        </w:rPr>
      </w:pPr>
      <w:r w:rsidRPr="00EB4A49">
        <w:rPr>
          <w:rFonts w:asciiTheme="majorHAnsi" w:hAnsiTheme="majorHAnsi" w:cstheme="majorHAnsi"/>
          <w:sz w:val="24"/>
          <w:szCs w:val="24"/>
        </w:rPr>
        <w:t xml:space="preserve">Together this indicates that the demographics of the school is not a </w:t>
      </w:r>
      <w:r>
        <w:rPr>
          <w:rFonts w:asciiTheme="majorHAnsi" w:hAnsiTheme="majorHAnsi" w:cstheme="majorHAnsi"/>
          <w:sz w:val="24"/>
          <w:szCs w:val="24"/>
        </w:rPr>
        <w:t>predictor to understand</w:t>
      </w:r>
      <w:r w:rsidRPr="00EB4A49">
        <w:rPr>
          <w:rFonts w:asciiTheme="majorHAnsi" w:hAnsiTheme="majorHAnsi" w:cstheme="majorHAnsi"/>
          <w:sz w:val="24"/>
          <w:szCs w:val="24"/>
        </w:rPr>
        <w:t xml:space="preserve"> how many pupi</w:t>
      </w:r>
      <w:r>
        <w:rPr>
          <w:rFonts w:asciiTheme="majorHAnsi" w:hAnsiTheme="majorHAnsi" w:cstheme="majorHAnsi"/>
          <w:sz w:val="24"/>
          <w:szCs w:val="24"/>
        </w:rPr>
        <w:t>ls will have EHCP or SEN-support needs. T</w:t>
      </w:r>
      <w:r w:rsidRPr="00EB4A49">
        <w:rPr>
          <w:rFonts w:asciiTheme="majorHAnsi" w:hAnsiTheme="majorHAnsi" w:cstheme="majorHAnsi"/>
          <w:sz w:val="24"/>
          <w:szCs w:val="24"/>
        </w:rPr>
        <w:t>his is a complex topic to fully understand, and many other local authority areas are in a similar position to York. Taken together, these findings suggest that there are individual school policies which influence when a child or young person is identified as needing SEN-support or an EHCP. There may also be individual school policies which influence when a child or y</w:t>
      </w:r>
      <w:r>
        <w:rPr>
          <w:rFonts w:asciiTheme="majorHAnsi" w:hAnsiTheme="majorHAnsi" w:cstheme="majorHAnsi"/>
          <w:sz w:val="24"/>
          <w:szCs w:val="24"/>
        </w:rPr>
        <w:t>oung person is take off the SEN-</w:t>
      </w:r>
      <w:r w:rsidRPr="00EB4A49">
        <w:rPr>
          <w:rFonts w:asciiTheme="majorHAnsi" w:hAnsiTheme="majorHAnsi" w:cstheme="majorHAnsi"/>
          <w:sz w:val="24"/>
          <w:szCs w:val="24"/>
        </w:rPr>
        <w:t xml:space="preserve">support or EHCP list. </w:t>
      </w:r>
    </w:p>
    <w:p w14:paraId="5D87073E" w14:textId="694B1EB2" w:rsidR="00353C0C" w:rsidRPr="00EB4A49" w:rsidRDefault="00353C0C" w:rsidP="00353C0C">
      <w:pPr>
        <w:rPr>
          <w:rFonts w:asciiTheme="majorHAnsi" w:hAnsiTheme="majorHAnsi" w:cstheme="majorHAnsi"/>
          <w:sz w:val="24"/>
          <w:szCs w:val="24"/>
        </w:rPr>
      </w:pPr>
    </w:p>
    <w:p w14:paraId="00A4E927" w14:textId="32D18763" w:rsidR="001D60A4" w:rsidRPr="00EB4A49" w:rsidRDefault="00353C0C" w:rsidP="00605F95">
      <w:pPr>
        <w:rPr>
          <w:rFonts w:cstheme="majorHAnsi"/>
          <w:sz w:val="24"/>
          <w:szCs w:val="24"/>
        </w:rPr>
      </w:pPr>
      <w:r>
        <w:rPr>
          <w:rFonts w:cstheme="majorHAnsi"/>
          <w:sz w:val="24"/>
          <w:szCs w:val="24"/>
        </w:rPr>
        <w:t xml:space="preserve">Home postcode – ward </w:t>
      </w:r>
    </w:p>
    <w:p w14:paraId="51912B8C" w14:textId="6C01457A" w:rsidR="00021651" w:rsidRPr="00EB4A49" w:rsidRDefault="002815CA" w:rsidP="00021651">
      <w:pPr>
        <w:rPr>
          <w:rFonts w:asciiTheme="majorHAnsi" w:hAnsiTheme="majorHAnsi" w:cstheme="majorHAnsi"/>
          <w:sz w:val="24"/>
          <w:szCs w:val="24"/>
        </w:rPr>
      </w:pPr>
      <w:r>
        <w:rPr>
          <w:rFonts w:asciiTheme="majorHAnsi" w:hAnsiTheme="majorHAnsi" w:cstheme="majorHAnsi"/>
          <w:sz w:val="24"/>
          <w:szCs w:val="24"/>
        </w:rPr>
        <w:t>I</w:t>
      </w:r>
      <w:r w:rsidR="00605F95">
        <w:rPr>
          <w:rFonts w:asciiTheme="majorHAnsi" w:hAnsiTheme="majorHAnsi" w:cstheme="majorHAnsi"/>
          <w:sz w:val="24"/>
          <w:szCs w:val="24"/>
        </w:rPr>
        <w:t>n York t</w:t>
      </w:r>
      <w:r w:rsidR="00605F95" w:rsidRPr="00EB4A49">
        <w:rPr>
          <w:rFonts w:asciiTheme="majorHAnsi" w:hAnsiTheme="majorHAnsi" w:cstheme="majorHAnsi"/>
          <w:sz w:val="24"/>
          <w:szCs w:val="24"/>
        </w:rPr>
        <w:t>here is no particular evidence of ‘clustering’</w:t>
      </w:r>
      <w:r w:rsidR="00605F95">
        <w:rPr>
          <w:rFonts w:asciiTheme="majorHAnsi" w:hAnsiTheme="majorHAnsi" w:cstheme="majorHAnsi"/>
          <w:sz w:val="24"/>
          <w:szCs w:val="24"/>
        </w:rPr>
        <w:t xml:space="preserve"> in parts of the city. W</w:t>
      </w:r>
      <w:r w:rsidR="00605F95" w:rsidRPr="00EB4A49">
        <w:rPr>
          <w:rFonts w:asciiTheme="majorHAnsi" w:hAnsiTheme="majorHAnsi" w:cstheme="majorHAnsi"/>
          <w:sz w:val="24"/>
          <w:szCs w:val="24"/>
        </w:rPr>
        <w:t>ards with more children have more children with SEN</w:t>
      </w:r>
      <w:r>
        <w:rPr>
          <w:rFonts w:asciiTheme="majorHAnsi" w:hAnsiTheme="majorHAnsi" w:cstheme="majorHAnsi"/>
          <w:sz w:val="24"/>
          <w:szCs w:val="24"/>
        </w:rPr>
        <w:t>D</w:t>
      </w:r>
      <w:r w:rsidR="00605F95" w:rsidRPr="00EB4A49">
        <w:rPr>
          <w:rStyle w:val="FootnoteReference"/>
          <w:rFonts w:asciiTheme="majorHAnsi" w:hAnsiTheme="majorHAnsi" w:cstheme="majorHAnsi"/>
          <w:sz w:val="24"/>
          <w:szCs w:val="24"/>
        </w:rPr>
        <w:footnoteReference w:id="28"/>
      </w:r>
      <w:r w:rsidR="00605F95" w:rsidRPr="00EB4A49">
        <w:rPr>
          <w:rFonts w:asciiTheme="majorHAnsi" w:hAnsiTheme="majorHAnsi" w:cstheme="majorHAnsi"/>
          <w:sz w:val="24"/>
          <w:szCs w:val="24"/>
        </w:rPr>
        <w:t xml:space="preserve">. </w:t>
      </w:r>
    </w:p>
    <w:p w14:paraId="49408469" w14:textId="77777777" w:rsidR="008A7E0B" w:rsidRPr="00EB4A49" w:rsidRDefault="008A7E0B" w:rsidP="00021651">
      <w:pPr>
        <w:rPr>
          <w:rFonts w:asciiTheme="majorHAnsi" w:hAnsiTheme="majorHAnsi" w:cstheme="majorHAnsi"/>
          <w:sz w:val="24"/>
          <w:szCs w:val="24"/>
        </w:rPr>
      </w:pPr>
      <w:r w:rsidRPr="00EB4A49">
        <w:rPr>
          <w:noProof/>
          <w:sz w:val="24"/>
          <w:szCs w:val="24"/>
          <w:lang w:eastAsia="en-GB"/>
        </w:rPr>
        <w:lastRenderedPageBreak/>
        <w:drawing>
          <wp:anchor distT="0" distB="0" distL="114300" distR="114300" simplePos="0" relativeHeight="251658240" behindDoc="1" locked="0" layoutInCell="1" allowOverlap="1" wp14:anchorId="6DA7E746" wp14:editId="5D605633">
            <wp:simplePos x="0" y="0"/>
            <wp:positionH relativeFrom="margin">
              <wp:align>left</wp:align>
            </wp:positionH>
            <wp:positionV relativeFrom="paragraph">
              <wp:posOffset>194945</wp:posOffset>
            </wp:positionV>
            <wp:extent cx="5405120" cy="2528570"/>
            <wp:effectExtent l="0" t="0" r="5080" b="5080"/>
            <wp:wrapTight wrapText="bothSides">
              <wp:wrapPolygon edited="0">
                <wp:start x="0" y="0"/>
                <wp:lineTo x="0" y="21481"/>
                <wp:lineTo x="21544" y="21481"/>
                <wp:lineTo x="2154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175953F" w14:textId="491848B1" w:rsidR="00971FBA" w:rsidRPr="00EB4A49" w:rsidRDefault="008A7E0B" w:rsidP="008A7E0B">
      <w:pPr>
        <w:rPr>
          <w:rFonts w:asciiTheme="majorHAnsi" w:hAnsiTheme="majorHAnsi" w:cstheme="majorHAnsi"/>
          <w:sz w:val="24"/>
          <w:szCs w:val="24"/>
        </w:rPr>
      </w:pPr>
      <w:r w:rsidRPr="00EB4A49">
        <w:rPr>
          <w:noProof/>
          <w:sz w:val="24"/>
          <w:szCs w:val="24"/>
          <w:lang w:eastAsia="en-GB"/>
        </w:rPr>
        <w:drawing>
          <wp:inline distT="0" distB="0" distL="0" distR="0" wp14:anchorId="53D7C069" wp14:editId="16FD6CD7">
            <wp:extent cx="5834063" cy="2880000"/>
            <wp:effectExtent l="0" t="0" r="1460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150C24" w14:textId="30577717" w:rsidR="00460A21" w:rsidRDefault="001074AF" w:rsidP="00460A21">
      <w:pPr>
        <w:pStyle w:val="Heading2"/>
        <w:rPr>
          <w:rFonts w:cstheme="majorHAnsi"/>
          <w:sz w:val="24"/>
          <w:szCs w:val="24"/>
        </w:rPr>
      </w:pPr>
      <w:bookmarkStart w:id="18" w:name="_Toc58575078"/>
      <w:r w:rsidRPr="009D20B5">
        <w:rPr>
          <w:rFonts w:cstheme="majorHAnsi"/>
          <w:sz w:val="24"/>
          <w:szCs w:val="24"/>
        </w:rPr>
        <w:t>Free school meals and S</w:t>
      </w:r>
      <w:r w:rsidR="00D11AAE">
        <w:rPr>
          <w:rFonts w:cstheme="majorHAnsi"/>
          <w:sz w:val="24"/>
          <w:szCs w:val="24"/>
        </w:rPr>
        <w:t>END</w:t>
      </w:r>
      <w:bookmarkEnd w:id="18"/>
    </w:p>
    <w:p w14:paraId="7D237B3A" w14:textId="77777777" w:rsidR="00460A21" w:rsidRDefault="00460A21" w:rsidP="00FE254C">
      <w:pPr>
        <w:rPr>
          <w:rFonts w:asciiTheme="majorHAnsi" w:hAnsiTheme="majorHAnsi" w:cstheme="majorHAnsi"/>
          <w:sz w:val="24"/>
          <w:szCs w:val="24"/>
        </w:rPr>
      </w:pPr>
      <w:r>
        <w:rPr>
          <w:rFonts w:asciiTheme="majorHAnsi" w:hAnsiTheme="majorHAnsi" w:cstheme="majorHAnsi"/>
          <w:sz w:val="24"/>
          <w:szCs w:val="24"/>
        </w:rPr>
        <w:t>The free school meals measure is</w:t>
      </w:r>
      <w:r w:rsidRPr="00EB4A49">
        <w:rPr>
          <w:rFonts w:asciiTheme="majorHAnsi" w:hAnsiTheme="majorHAnsi" w:cstheme="majorHAnsi"/>
          <w:sz w:val="24"/>
          <w:szCs w:val="24"/>
        </w:rPr>
        <w:t xml:space="preserve"> highly sensitive to the individual circumstances of the family, but is incomplete as there is a longstanding challenge of ensuring all eligible families apply for and receive free school meals for their children. </w:t>
      </w:r>
    </w:p>
    <w:p w14:paraId="75E677CC" w14:textId="0EAF7B8D" w:rsidR="002125D2" w:rsidRPr="00EB4A49" w:rsidRDefault="00FE254C" w:rsidP="00FE254C">
      <w:pPr>
        <w:rPr>
          <w:rFonts w:asciiTheme="majorHAnsi" w:hAnsiTheme="majorHAnsi" w:cstheme="majorHAnsi"/>
          <w:sz w:val="24"/>
          <w:szCs w:val="24"/>
        </w:rPr>
      </w:pPr>
      <w:r w:rsidRPr="00EB4A49">
        <w:rPr>
          <w:rFonts w:asciiTheme="majorHAnsi" w:hAnsiTheme="majorHAnsi" w:cstheme="majorHAnsi"/>
          <w:sz w:val="24"/>
          <w:szCs w:val="24"/>
        </w:rPr>
        <w:t>In total 10% of pupils on the school census wer</w:t>
      </w:r>
      <w:r w:rsidR="00B5453B" w:rsidRPr="00EB4A49">
        <w:rPr>
          <w:rFonts w:asciiTheme="majorHAnsi" w:hAnsiTheme="majorHAnsi" w:cstheme="majorHAnsi"/>
          <w:sz w:val="24"/>
          <w:szCs w:val="24"/>
        </w:rPr>
        <w:t>e receiving FSM in January 2020.</w:t>
      </w:r>
      <w:r w:rsidR="00707904" w:rsidRPr="00EB4A49">
        <w:rPr>
          <w:rFonts w:asciiTheme="majorHAnsi" w:hAnsiTheme="majorHAnsi" w:cstheme="majorHAnsi"/>
          <w:sz w:val="24"/>
          <w:szCs w:val="24"/>
        </w:rPr>
        <w:t xml:space="preserve"> </w:t>
      </w:r>
      <w:r w:rsidR="00B5453B" w:rsidRPr="00EB4A49">
        <w:rPr>
          <w:rFonts w:asciiTheme="majorHAnsi" w:hAnsiTheme="majorHAnsi" w:cstheme="majorHAnsi"/>
          <w:sz w:val="24"/>
          <w:szCs w:val="24"/>
        </w:rPr>
        <w:t>By contrast</w:t>
      </w:r>
      <w:r w:rsidR="00707904" w:rsidRPr="00EB4A49">
        <w:rPr>
          <w:rFonts w:asciiTheme="majorHAnsi" w:hAnsiTheme="majorHAnsi" w:cstheme="majorHAnsi"/>
          <w:sz w:val="24"/>
          <w:szCs w:val="24"/>
        </w:rPr>
        <w:t>, 25% of pupils with an EHCP receive free school meals, considerably more in secondary compared with</w:t>
      </w:r>
      <w:r w:rsidR="00584DCF" w:rsidRPr="00EB4A49">
        <w:rPr>
          <w:rFonts w:asciiTheme="majorHAnsi" w:hAnsiTheme="majorHAnsi" w:cstheme="majorHAnsi"/>
          <w:sz w:val="24"/>
          <w:szCs w:val="24"/>
        </w:rPr>
        <w:t xml:space="preserve"> primary. 20% of pupils with SEN-s</w:t>
      </w:r>
      <w:r w:rsidR="00707904" w:rsidRPr="00EB4A49">
        <w:rPr>
          <w:rFonts w:asciiTheme="majorHAnsi" w:hAnsiTheme="majorHAnsi" w:cstheme="majorHAnsi"/>
          <w:sz w:val="24"/>
          <w:szCs w:val="24"/>
        </w:rPr>
        <w:t xml:space="preserve">upport receive free school meals, </w:t>
      </w:r>
      <w:r w:rsidR="002125D2" w:rsidRPr="00EB4A49">
        <w:rPr>
          <w:rFonts w:asciiTheme="majorHAnsi" w:hAnsiTheme="majorHAnsi" w:cstheme="majorHAnsi"/>
          <w:sz w:val="24"/>
          <w:szCs w:val="24"/>
        </w:rPr>
        <w:t>conversely</w:t>
      </w:r>
      <w:r w:rsidR="00707904" w:rsidRPr="00EB4A49">
        <w:rPr>
          <w:rFonts w:asciiTheme="majorHAnsi" w:hAnsiTheme="majorHAnsi" w:cstheme="majorHAnsi"/>
          <w:sz w:val="24"/>
          <w:szCs w:val="24"/>
        </w:rPr>
        <w:t xml:space="preserve"> considerably more in primary school than secondary.  </w:t>
      </w:r>
    </w:p>
    <w:p w14:paraId="258EC658" w14:textId="0BF56E9D" w:rsidR="00192C79" w:rsidRPr="00EB4A49" w:rsidRDefault="00707904" w:rsidP="00FE254C">
      <w:pPr>
        <w:rPr>
          <w:rFonts w:asciiTheme="majorHAnsi" w:hAnsiTheme="majorHAnsi" w:cstheme="majorHAnsi"/>
          <w:sz w:val="24"/>
          <w:szCs w:val="24"/>
        </w:rPr>
      </w:pPr>
      <w:r w:rsidRPr="00EB4A49">
        <w:rPr>
          <w:rFonts w:asciiTheme="majorHAnsi" w:hAnsiTheme="majorHAnsi" w:cstheme="majorHAnsi"/>
          <w:sz w:val="24"/>
          <w:szCs w:val="24"/>
        </w:rPr>
        <w:t>Overall, t</w:t>
      </w:r>
      <w:r w:rsidR="00FE254C" w:rsidRPr="00EB4A49">
        <w:rPr>
          <w:rFonts w:asciiTheme="majorHAnsi" w:hAnsiTheme="majorHAnsi" w:cstheme="majorHAnsi"/>
          <w:sz w:val="24"/>
          <w:szCs w:val="24"/>
        </w:rPr>
        <w:t>his indicat</w:t>
      </w:r>
      <w:r w:rsidR="00932C25" w:rsidRPr="00EB4A49">
        <w:rPr>
          <w:rFonts w:asciiTheme="majorHAnsi" w:hAnsiTheme="majorHAnsi" w:cstheme="majorHAnsi"/>
          <w:sz w:val="24"/>
          <w:szCs w:val="24"/>
        </w:rPr>
        <w:t>es that school age CYP with SEN</w:t>
      </w:r>
      <w:r w:rsidR="00911F35">
        <w:rPr>
          <w:rFonts w:asciiTheme="majorHAnsi" w:hAnsiTheme="majorHAnsi" w:cstheme="majorHAnsi"/>
          <w:sz w:val="24"/>
          <w:szCs w:val="24"/>
        </w:rPr>
        <w:t>D</w:t>
      </w:r>
      <w:r w:rsidR="00FE254C" w:rsidRPr="00EB4A49">
        <w:rPr>
          <w:rFonts w:asciiTheme="majorHAnsi" w:hAnsiTheme="majorHAnsi" w:cstheme="majorHAnsi"/>
          <w:sz w:val="24"/>
          <w:szCs w:val="24"/>
        </w:rPr>
        <w:t xml:space="preserve"> are were at least twice as likely to be part of families experiencing financial hardship as the York average.</w:t>
      </w:r>
      <w:r w:rsidR="00B5453B" w:rsidRPr="00EB4A49">
        <w:rPr>
          <w:rFonts w:asciiTheme="majorHAnsi" w:hAnsiTheme="majorHAnsi" w:cstheme="majorHAnsi"/>
          <w:sz w:val="24"/>
          <w:szCs w:val="24"/>
        </w:rPr>
        <w:t xml:space="preserve"> </w:t>
      </w:r>
      <w:r w:rsidR="00293047" w:rsidRPr="00EB4A49">
        <w:rPr>
          <w:rFonts w:asciiTheme="majorHAnsi" w:hAnsiTheme="majorHAnsi" w:cstheme="majorHAnsi"/>
          <w:sz w:val="24"/>
          <w:szCs w:val="24"/>
        </w:rPr>
        <w:t>However, the earlier section identified there is no s</w:t>
      </w:r>
      <w:r w:rsidR="00512461">
        <w:rPr>
          <w:rFonts w:asciiTheme="majorHAnsi" w:hAnsiTheme="majorHAnsi" w:cstheme="majorHAnsi"/>
          <w:sz w:val="24"/>
          <w:szCs w:val="24"/>
        </w:rPr>
        <w:t>trong s</w:t>
      </w:r>
      <w:r w:rsidR="00293047" w:rsidRPr="00EB4A49">
        <w:rPr>
          <w:rFonts w:asciiTheme="majorHAnsi" w:hAnsiTheme="majorHAnsi" w:cstheme="majorHAnsi"/>
          <w:sz w:val="24"/>
          <w:szCs w:val="24"/>
        </w:rPr>
        <w:t>chool level correlation between FSM an</w:t>
      </w:r>
      <w:r w:rsidR="00512461">
        <w:rPr>
          <w:rFonts w:asciiTheme="majorHAnsi" w:hAnsiTheme="majorHAnsi" w:cstheme="majorHAnsi"/>
          <w:sz w:val="24"/>
          <w:szCs w:val="24"/>
        </w:rPr>
        <w:t xml:space="preserve">d either EHCP or SEN-support, </w:t>
      </w:r>
      <w:r w:rsidR="00293047" w:rsidRPr="00EB4A49">
        <w:rPr>
          <w:rFonts w:asciiTheme="majorHAnsi" w:hAnsiTheme="majorHAnsi" w:cstheme="majorHAnsi"/>
          <w:sz w:val="24"/>
          <w:szCs w:val="24"/>
        </w:rPr>
        <w:t xml:space="preserve"> </w:t>
      </w:r>
    </w:p>
    <w:p w14:paraId="715BF3E9" w14:textId="77777777" w:rsidR="00192C79" w:rsidRPr="00EB4A49" w:rsidRDefault="00707904" w:rsidP="00FE254C">
      <w:pPr>
        <w:rPr>
          <w:rFonts w:asciiTheme="majorHAnsi" w:hAnsiTheme="majorHAnsi" w:cstheme="majorHAnsi"/>
          <w:sz w:val="24"/>
          <w:szCs w:val="24"/>
        </w:rPr>
      </w:pPr>
      <w:r w:rsidRPr="00EB4A49">
        <w:rPr>
          <w:noProof/>
          <w:sz w:val="24"/>
          <w:szCs w:val="24"/>
          <w:lang w:eastAsia="en-GB"/>
        </w:rPr>
        <w:lastRenderedPageBreak/>
        <w:drawing>
          <wp:inline distT="0" distB="0" distL="0" distR="0" wp14:anchorId="13452EC7" wp14:editId="35E3D69E">
            <wp:extent cx="5064981" cy="2880000"/>
            <wp:effectExtent l="0" t="0" r="254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A91898" w14:textId="3AD1787A" w:rsidR="00004337" w:rsidRPr="009D20B5" w:rsidRDefault="00004337" w:rsidP="001074AF">
      <w:pPr>
        <w:pStyle w:val="Heading2"/>
        <w:rPr>
          <w:rFonts w:cstheme="majorHAnsi"/>
          <w:sz w:val="24"/>
          <w:szCs w:val="24"/>
        </w:rPr>
      </w:pPr>
      <w:bookmarkStart w:id="19" w:name="_Toc58575079"/>
      <w:r w:rsidRPr="009D20B5">
        <w:rPr>
          <w:rFonts w:cstheme="majorHAnsi"/>
          <w:sz w:val="24"/>
          <w:szCs w:val="24"/>
        </w:rPr>
        <w:t>Ne</w:t>
      </w:r>
      <w:r w:rsidR="00932C25" w:rsidRPr="009D20B5">
        <w:rPr>
          <w:rFonts w:cstheme="majorHAnsi"/>
          <w:sz w:val="24"/>
          <w:szCs w:val="24"/>
        </w:rPr>
        <w:t>ighbourhood deprivation and SEN</w:t>
      </w:r>
      <w:r w:rsidR="00911F35">
        <w:rPr>
          <w:rFonts w:cstheme="majorHAnsi"/>
          <w:sz w:val="24"/>
          <w:szCs w:val="24"/>
        </w:rPr>
        <w:t>D</w:t>
      </w:r>
      <w:bookmarkEnd w:id="19"/>
      <w:r w:rsidRPr="009D20B5">
        <w:rPr>
          <w:rFonts w:cstheme="majorHAnsi"/>
          <w:sz w:val="24"/>
          <w:szCs w:val="24"/>
        </w:rPr>
        <w:t xml:space="preserve"> </w:t>
      </w:r>
    </w:p>
    <w:p w14:paraId="06F8914F" w14:textId="77777777" w:rsidR="00460A21" w:rsidRDefault="00460A21" w:rsidP="00FE254C">
      <w:pPr>
        <w:rPr>
          <w:rFonts w:asciiTheme="majorHAnsi" w:hAnsiTheme="majorHAnsi" w:cstheme="majorHAnsi"/>
          <w:sz w:val="24"/>
          <w:szCs w:val="24"/>
        </w:rPr>
      </w:pPr>
    </w:p>
    <w:p w14:paraId="27D1F9F0" w14:textId="77DBE7FA" w:rsidR="00460A21" w:rsidRDefault="00460A21" w:rsidP="00FE254C">
      <w:pPr>
        <w:rPr>
          <w:rFonts w:asciiTheme="majorHAnsi" w:hAnsiTheme="majorHAnsi" w:cstheme="majorHAnsi"/>
          <w:sz w:val="24"/>
          <w:szCs w:val="24"/>
        </w:rPr>
      </w:pPr>
      <w:r>
        <w:rPr>
          <w:rFonts w:asciiTheme="majorHAnsi" w:hAnsiTheme="majorHAnsi" w:cstheme="majorHAnsi"/>
          <w:sz w:val="24"/>
          <w:szCs w:val="24"/>
        </w:rPr>
        <w:t>T</w:t>
      </w:r>
      <w:r w:rsidRPr="00EB4A49">
        <w:rPr>
          <w:rFonts w:asciiTheme="majorHAnsi" w:hAnsiTheme="majorHAnsi" w:cstheme="majorHAnsi"/>
          <w:sz w:val="24"/>
          <w:szCs w:val="24"/>
        </w:rPr>
        <w:t xml:space="preserve">he neighbourhood ‘indices of multiple deprivation’ </w:t>
      </w:r>
      <w:r>
        <w:rPr>
          <w:rFonts w:asciiTheme="majorHAnsi" w:hAnsiTheme="majorHAnsi" w:cstheme="majorHAnsi"/>
          <w:sz w:val="24"/>
          <w:szCs w:val="24"/>
        </w:rPr>
        <w:t>measure</w:t>
      </w:r>
      <w:r w:rsidRPr="00EB4A49">
        <w:rPr>
          <w:rFonts w:asciiTheme="majorHAnsi" w:hAnsiTheme="majorHAnsi" w:cstheme="majorHAnsi"/>
          <w:sz w:val="24"/>
          <w:szCs w:val="24"/>
        </w:rPr>
        <w:t xml:space="preserve"> is not sensitive to the circumstances of individual families as it is a neighbourhood average of around 650 households. The advantage of this approach is that it is complete, with every househol</w:t>
      </w:r>
      <w:r>
        <w:rPr>
          <w:rFonts w:asciiTheme="majorHAnsi" w:hAnsiTheme="majorHAnsi" w:cstheme="majorHAnsi"/>
          <w:sz w:val="24"/>
          <w:szCs w:val="24"/>
        </w:rPr>
        <w:t xml:space="preserve">d and neighbourhood included.  </w:t>
      </w:r>
    </w:p>
    <w:p w14:paraId="45216F3D" w14:textId="556F3F08" w:rsidR="00004337" w:rsidRPr="00EB4A49" w:rsidRDefault="00004337" w:rsidP="00FE254C">
      <w:pPr>
        <w:rPr>
          <w:rFonts w:asciiTheme="majorHAnsi" w:hAnsiTheme="majorHAnsi" w:cstheme="majorHAnsi"/>
          <w:sz w:val="24"/>
          <w:szCs w:val="24"/>
        </w:rPr>
      </w:pPr>
      <w:r w:rsidRPr="00EB4A49">
        <w:rPr>
          <w:rFonts w:asciiTheme="majorHAnsi" w:hAnsiTheme="majorHAnsi" w:cstheme="majorHAnsi"/>
          <w:sz w:val="24"/>
          <w:szCs w:val="24"/>
        </w:rPr>
        <w:t xml:space="preserve">York is less deprived than the England average, and therefore has fewer neighbourhood areas that are </w:t>
      </w:r>
      <w:r w:rsidR="00584DCF" w:rsidRPr="00EB4A49">
        <w:rPr>
          <w:rFonts w:asciiTheme="majorHAnsi" w:hAnsiTheme="majorHAnsi" w:cstheme="majorHAnsi"/>
          <w:sz w:val="24"/>
          <w:szCs w:val="24"/>
        </w:rPr>
        <w:t xml:space="preserve">in the </w:t>
      </w:r>
      <w:r w:rsidRPr="00EB4A49">
        <w:rPr>
          <w:rFonts w:asciiTheme="majorHAnsi" w:hAnsiTheme="majorHAnsi" w:cstheme="majorHAnsi"/>
          <w:sz w:val="24"/>
          <w:szCs w:val="24"/>
        </w:rPr>
        <w:t xml:space="preserve">most deprived 30% of the country, and more neighbourhoods that are in the least deprived 30% of the country. </w:t>
      </w:r>
    </w:p>
    <w:p w14:paraId="2EB53FEB" w14:textId="77F1E7E2" w:rsidR="00004337" w:rsidRPr="00EB4A49" w:rsidRDefault="00F27327" w:rsidP="00FE254C">
      <w:pPr>
        <w:rPr>
          <w:rFonts w:asciiTheme="majorHAnsi" w:hAnsiTheme="majorHAnsi" w:cstheme="majorHAnsi"/>
          <w:sz w:val="24"/>
          <w:szCs w:val="24"/>
        </w:rPr>
      </w:pPr>
      <w:r>
        <w:rPr>
          <w:rFonts w:asciiTheme="majorHAnsi" w:hAnsiTheme="majorHAnsi" w:cstheme="majorHAnsi"/>
          <w:sz w:val="24"/>
          <w:szCs w:val="24"/>
        </w:rPr>
        <w:t>In comparison to the city as a whole, a greater proportion of York pupils with SEN</w:t>
      </w:r>
      <w:r w:rsidR="00911F35">
        <w:rPr>
          <w:rFonts w:asciiTheme="majorHAnsi" w:hAnsiTheme="majorHAnsi" w:cstheme="majorHAnsi"/>
          <w:sz w:val="24"/>
          <w:szCs w:val="24"/>
        </w:rPr>
        <w:t>D</w:t>
      </w:r>
      <w:r>
        <w:rPr>
          <w:rFonts w:asciiTheme="majorHAnsi" w:hAnsiTheme="majorHAnsi" w:cstheme="majorHAnsi"/>
          <w:sz w:val="24"/>
          <w:szCs w:val="24"/>
        </w:rPr>
        <w:t xml:space="preserve"> are</w:t>
      </w:r>
      <w:r w:rsidR="00004337" w:rsidRPr="00EB4A49">
        <w:rPr>
          <w:rFonts w:asciiTheme="majorHAnsi" w:hAnsiTheme="majorHAnsi" w:cstheme="majorHAnsi"/>
          <w:sz w:val="24"/>
          <w:szCs w:val="24"/>
        </w:rPr>
        <w:t xml:space="preserve"> living in the neighbourhoods that are in the mo</w:t>
      </w:r>
      <w:r w:rsidR="00D66ABD" w:rsidRPr="00EB4A49">
        <w:rPr>
          <w:rFonts w:asciiTheme="majorHAnsi" w:hAnsiTheme="majorHAnsi" w:cstheme="majorHAnsi"/>
          <w:sz w:val="24"/>
          <w:szCs w:val="24"/>
        </w:rPr>
        <w:t xml:space="preserve">re deprived parts of the city. This pattern is even more exaggerated among </w:t>
      </w:r>
      <w:r w:rsidR="00004337" w:rsidRPr="00EB4A49">
        <w:rPr>
          <w:rFonts w:asciiTheme="majorHAnsi" w:hAnsiTheme="majorHAnsi" w:cstheme="majorHAnsi"/>
          <w:sz w:val="24"/>
          <w:szCs w:val="24"/>
        </w:rPr>
        <w:t>CYP with ‘social, emotional, and mental health need’</w:t>
      </w:r>
      <w:r>
        <w:rPr>
          <w:rFonts w:asciiTheme="majorHAnsi" w:hAnsiTheme="majorHAnsi" w:cstheme="majorHAnsi"/>
          <w:sz w:val="24"/>
          <w:szCs w:val="24"/>
        </w:rPr>
        <w:t>.</w:t>
      </w:r>
      <w:r w:rsidR="00D66ABD" w:rsidRPr="00EB4A49">
        <w:rPr>
          <w:rFonts w:asciiTheme="majorHAnsi" w:hAnsiTheme="majorHAnsi" w:cstheme="majorHAnsi"/>
          <w:sz w:val="24"/>
          <w:szCs w:val="24"/>
        </w:rPr>
        <w:t xml:space="preserve"> </w:t>
      </w:r>
      <w:r w:rsidR="00004337" w:rsidRPr="00EB4A49">
        <w:rPr>
          <w:rFonts w:asciiTheme="majorHAnsi" w:hAnsiTheme="majorHAnsi" w:cstheme="majorHAnsi"/>
          <w:sz w:val="24"/>
          <w:szCs w:val="24"/>
        </w:rPr>
        <w:t xml:space="preserve"> </w:t>
      </w:r>
    </w:p>
    <w:p w14:paraId="7A61DC28" w14:textId="5BA20C10" w:rsidR="00004337" w:rsidRPr="00EB4A49" w:rsidRDefault="00004337" w:rsidP="00FE254C">
      <w:pPr>
        <w:rPr>
          <w:rFonts w:asciiTheme="majorHAnsi" w:hAnsiTheme="majorHAnsi" w:cstheme="majorHAnsi"/>
          <w:sz w:val="24"/>
          <w:szCs w:val="24"/>
        </w:rPr>
      </w:pPr>
      <w:r w:rsidRPr="00EB4A49">
        <w:rPr>
          <w:rFonts w:asciiTheme="majorHAnsi" w:hAnsiTheme="majorHAnsi" w:cstheme="majorHAnsi"/>
          <w:sz w:val="24"/>
          <w:szCs w:val="24"/>
        </w:rPr>
        <w:t>This informa</w:t>
      </w:r>
      <w:r w:rsidR="00932C25" w:rsidRPr="00EB4A49">
        <w:rPr>
          <w:rFonts w:asciiTheme="majorHAnsi" w:hAnsiTheme="majorHAnsi" w:cstheme="majorHAnsi"/>
          <w:sz w:val="24"/>
          <w:szCs w:val="24"/>
        </w:rPr>
        <w:t>tion shows that pupils with SEN</w:t>
      </w:r>
      <w:r w:rsidR="00911F35">
        <w:rPr>
          <w:rFonts w:asciiTheme="majorHAnsi" w:hAnsiTheme="majorHAnsi" w:cstheme="majorHAnsi"/>
          <w:sz w:val="24"/>
          <w:szCs w:val="24"/>
        </w:rPr>
        <w:t>D</w:t>
      </w:r>
      <w:r w:rsidRPr="00EB4A49">
        <w:rPr>
          <w:rFonts w:asciiTheme="majorHAnsi" w:hAnsiTheme="majorHAnsi" w:cstheme="majorHAnsi"/>
          <w:sz w:val="24"/>
          <w:szCs w:val="24"/>
        </w:rPr>
        <w:t xml:space="preserve"> are living all across York, in all neighbourhoo</w:t>
      </w:r>
      <w:r w:rsidR="00584DCF" w:rsidRPr="00EB4A49">
        <w:rPr>
          <w:rFonts w:asciiTheme="majorHAnsi" w:hAnsiTheme="majorHAnsi" w:cstheme="majorHAnsi"/>
          <w:sz w:val="24"/>
          <w:szCs w:val="24"/>
        </w:rPr>
        <w:t>ds and areas, but that they are</w:t>
      </w:r>
      <w:r w:rsidR="004B1A08" w:rsidRPr="00EB4A49">
        <w:rPr>
          <w:rFonts w:asciiTheme="majorHAnsi" w:hAnsiTheme="majorHAnsi" w:cstheme="majorHAnsi"/>
          <w:sz w:val="24"/>
          <w:szCs w:val="24"/>
        </w:rPr>
        <w:t xml:space="preserve"> somewhat overrepresented in the more deprived parts of York.  </w:t>
      </w:r>
    </w:p>
    <w:p w14:paraId="1747D6CE" w14:textId="77777777" w:rsidR="00004337" w:rsidRPr="00EB4A49" w:rsidRDefault="00004337" w:rsidP="00FE254C">
      <w:pPr>
        <w:rPr>
          <w:rFonts w:asciiTheme="majorHAnsi" w:hAnsiTheme="majorHAnsi" w:cstheme="majorHAnsi"/>
          <w:sz w:val="24"/>
          <w:szCs w:val="24"/>
        </w:rPr>
      </w:pPr>
      <w:r w:rsidRPr="00EB4A49">
        <w:rPr>
          <w:noProof/>
          <w:sz w:val="24"/>
          <w:szCs w:val="24"/>
          <w:lang w:eastAsia="en-GB"/>
        </w:rPr>
        <w:lastRenderedPageBreak/>
        <w:drawing>
          <wp:inline distT="0" distB="0" distL="0" distR="0" wp14:anchorId="50EC575D" wp14:editId="15E07CFB">
            <wp:extent cx="5545932" cy="2880000"/>
            <wp:effectExtent l="0" t="0" r="17145"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086272" w14:textId="77777777" w:rsidR="00FE254C" w:rsidRPr="00EB4A49" w:rsidRDefault="00192C79" w:rsidP="00FE254C">
      <w:pPr>
        <w:rPr>
          <w:rFonts w:asciiTheme="majorHAnsi" w:hAnsiTheme="majorHAnsi" w:cstheme="majorHAnsi"/>
          <w:sz w:val="24"/>
          <w:szCs w:val="24"/>
        </w:rPr>
      </w:pPr>
      <w:r w:rsidRPr="00EB4A49">
        <w:rPr>
          <w:rFonts w:asciiTheme="majorHAnsi" w:hAnsiTheme="majorHAnsi" w:cstheme="majorHAnsi"/>
          <w:sz w:val="24"/>
          <w:szCs w:val="24"/>
        </w:rPr>
        <w:t xml:space="preserve">This indicates that whilst the demography of a school is not a reliable guide to the SEND needs of the pupils, the demography of a neighbourhood is a moderately good guide. However, the link between neighbourhood deprivation and SEND is only moderate, this suggests that other factors are also influential.  </w:t>
      </w:r>
      <w:r w:rsidR="00F27327">
        <w:rPr>
          <w:rFonts w:asciiTheme="majorHAnsi" w:hAnsiTheme="majorHAnsi" w:cstheme="majorHAnsi"/>
          <w:sz w:val="24"/>
          <w:szCs w:val="24"/>
        </w:rPr>
        <w:t xml:space="preserve">It is possible that one such influential factor is the policies and approaches of individual school settings. </w:t>
      </w:r>
    </w:p>
    <w:p w14:paraId="0B5CE3AD" w14:textId="77777777" w:rsidR="00D70A74" w:rsidRPr="00EB4A49" w:rsidRDefault="00D70A74" w:rsidP="00D70A74">
      <w:pPr>
        <w:pStyle w:val="Heading2"/>
        <w:rPr>
          <w:rFonts w:cstheme="majorHAnsi"/>
          <w:sz w:val="24"/>
          <w:szCs w:val="24"/>
        </w:rPr>
      </w:pPr>
      <w:bookmarkStart w:id="20" w:name="_Toc58575080"/>
      <w:r w:rsidRPr="00EB4A49">
        <w:rPr>
          <w:rFonts w:cstheme="majorHAnsi"/>
          <w:sz w:val="24"/>
          <w:szCs w:val="24"/>
        </w:rPr>
        <w:t>Children and young people who go to school in a different area to where they live</w:t>
      </w:r>
      <w:bookmarkEnd w:id="20"/>
    </w:p>
    <w:p w14:paraId="05972351" w14:textId="77777777" w:rsidR="00D70A74" w:rsidRPr="00EB4A49" w:rsidRDefault="00D70A74" w:rsidP="00D70A74">
      <w:pPr>
        <w:rPr>
          <w:rFonts w:asciiTheme="majorHAnsi" w:hAnsiTheme="majorHAnsi" w:cstheme="majorHAnsi"/>
          <w:sz w:val="24"/>
          <w:szCs w:val="24"/>
        </w:rPr>
      </w:pPr>
      <w:r w:rsidRPr="00EB4A49">
        <w:rPr>
          <w:rFonts w:asciiTheme="majorHAnsi" w:hAnsiTheme="majorHAnsi" w:cstheme="majorHAnsi"/>
          <w:sz w:val="24"/>
          <w:szCs w:val="24"/>
        </w:rPr>
        <w:t>One of the concerns of a complex education system is that children and young people with SEN</w:t>
      </w:r>
      <w:r>
        <w:rPr>
          <w:rFonts w:asciiTheme="majorHAnsi" w:hAnsiTheme="majorHAnsi" w:cstheme="majorHAnsi"/>
          <w:sz w:val="24"/>
          <w:szCs w:val="24"/>
        </w:rPr>
        <w:t xml:space="preserve">D </w:t>
      </w:r>
      <w:r w:rsidRPr="00EB4A49">
        <w:rPr>
          <w:rFonts w:asciiTheme="majorHAnsi" w:hAnsiTheme="majorHAnsi" w:cstheme="majorHAnsi"/>
          <w:sz w:val="24"/>
          <w:szCs w:val="24"/>
        </w:rPr>
        <w:t xml:space="preserve">will need to travel long distances to go to a school that meets their need. This may impact a child or young person’s access to their friendship group, amount of free time in the evenings, or opportunity to learn independence skills in environments near their home. </w:t>
      </w:r>
    </w:p>
    <w:p w14:paraId="12328823" w14:textId="77777777" w:rsidR="00D70A74" w:rsidRPr="00EB4A49" w:rsidRDefault="00D70A74" w:rsidP="00D70A74">
      <w:pPr>
        <w:rPr>
          <w:rFonts w:asciiTheme="majorHAnsi" w:hAnsiTheme="majorHAnsi" w:cstheme="majorHAnsi"/>
          <w:sz w:val="24"/>
          <w:szCs w:val="24"/>
        </w:rPr>
      </w:pPr>
      <w:r w:rsidRPr="00EB4A49">
        <w:rPr>
          <w:rFonts w:asciiTheme="majorHAnsi" w:hAnsiTheme="majorHAnsi" w:cstheme="majorHAnsi"/>
          <w:sz w:val="24"/>
          <w:szCs w:val="24"/>
        </w:rPr>
        <w:t>Schools census data show that around 5% of pupils at school in York live outside the city; almost all live in neighbouring areas of East Riding or North Yorkshire.  This is the same whether looking at all pupils or pupils with SEN</w:t>
      </w:r>
      <w:r>
        <w:rPr>
          <w:rFonts w:asciiTheme="majorHAnsi" w:hAnsiTheme="majorHAnsi" w:cstheme="majorHAnsi"/>
          <w:sz w:val="24"/>
          <w:szCs w:val="24"/>
        </w:rPr>
        <w:t>D</w:t>
      </w:r>
      <w:r w:rsidRPr="00EB4A49">
        <w:rPr>
          <w:rFonts w:asciiTheme="majorHAnsi" w:hAnsiTheme="majorHAnsi" w:cstheme="majorHAnsi"/>
          <w:sz w:val="24"/>
          <w:szCs w:val="24"/>
        </w:rPr>
        <w:t xml:space="preserve"> specifically. </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1985"/>
      </w:tblGrid>
      <w:tr w:rsidR="00D70A74" w:rsidRPr="00EB4A49" w14:paraId="2CB151E0" w14:textId="77777777" w:rsidTr="00D70A74">
        <w:trPr>
          <w:trHeight w:val="285"/>
        </w:trPr>
        <w:tc>
          <w:tcPr>
            <w:tcW w:w="2122" w:type="dxa"/>
            <w:shd w:val="clear" w:color="auto" w:fill="auto"/>
            <w:noWrap/>
            <w:vAlign w:val="bottom"/>
            <w:hideMark/>
          </w:tcPr>
          <w:p w14:paraId="379D528C" w14:textId="77777777" w:rsidR="00D70A74" w:rsidRPr="00EB4A49" w:rsidRDefault="00D70A74" w:rsidP="00D70A74">
            <w:pPr>
              <w:spacing w:after="0" w:line="240" w:lineRule="auto"/>
              <w:rPr>
                <w:rFonts w:asciiTheme="majorHAnsi" w:eastAsia="Times New Roman" w:hAnsiTheme="majorHAnsi" w:cstheme="majorHAnsi"/>
                <w:sz w:val="24"/>
                <w:szCs w:val="24"/>
                <w:lang w:eastAsia="en-GB"/>
              </w:rPr>
            </w:pPr>
          </w:p>
        </w:tc>
        <w:tc>
          <w:tcPr>
            <w:tcW w:w="1984" w:type="dxa"/>
            <w:shd w:val="clear" w:color="auto" w:fill="auto"/>
            <w:noWrap/>
            <w:vAlign w:val="bottom"/>
            <w:hideMark/>
          </w:tcPr>
          <w:p w14:paraId="2974A8AA" w14:textId="77777777" w:rsidR="00D70A74" w:rsidRPr="00EB4A49" w:rsidRDefault="00D70A74" w:rsidP="00D70A74">
            <w:pPr>
              <w:spacing w:after="0" w:line="240" w:lineRule="auto"/>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 xml:space="preserve">Live in York </w:t>
            </w:r>
          </w:p>
        </w:tc>
        <w:tc>
          <w:tcPr>
            <w:tcW w:w="1985" w:type="dxa"/>
            <w:shd w:val="clear" w:color="auto" w:fill="auto"/>
            <w:noWrap/>
            <w:vAlign w:val="bottom"/>
            <w:hideMark/>
          </w:tcPr>
          <w:p w14:paraId="7B77597F" w14:textId="77777777" w:rsidR="00D70A74" w:rsidRPr="00EB4A49" w:rsidRDefault="00D70A74" w:rsidP="00D70A74">
            <w:pPr>
              <w:spacing w:after="0" w:line="240" w:lineRule="auto"/>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 xml:space="preserve">Live outside of York </w:t>
            </w:r>
          </w:p>
        </w:tc>
      </w:tr>
      <w:tr w:rsidR="00D70A74" w:rsidRPr="00EB4A49" w14:paraId="08876CAE" w14:textId="77777777" w:rsidTr="00D70A74">
        <w:trPr>
          <w:trHeight w:val="285"/>
        </w:trPr>
        <w:tc>
          <w:tcPr>
            <w:tcW w:w="2122" w:type="dxa"/>
            <w:shd w:val="clear" w:color="auto" w:fill="auto"/>
            <w:noWrap/>
            <w:vAlign w:val="bottom"/>
            <w:hideMark/>
          </w:tcPr>
          <w:p w14:paraId="299ED837" w14:textId="77777777" w:rsidR="00D70A74" w:rsidRPr="00EB4A49" w:rsidRDefault="00D70A74" w:rsidP="00D70A74">
            <w:pPr>
              <w:spacing w:after="0" w:line="240" w:lineRule="auto"/>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 xml:space="preserve">All CYP at school in York </w:t>
            </w:r>
          </w:p>
        </w:tc>
        <w:tc>
          <w:tcPr>
            <w:tcW w:w="1984" w:type="dxa"/>
            <w:shd w:val="clear" w:color="auto" w:fill="auto"/>
            <w:noWrap/>
            <w:vAlign w:val="bottom"/>
            <w:hideMark/>
          </w:tcPr>
          <w:p w14:paraId="4DD987A7" w14:textId="77777777" w:rsidR="00D70A74" w:rsidRPr="00EB4A49" w:rsidRDefault="00D70A74" w:rsidP="00D70A74">
            <w:pPr>
              <w:spacing w:after="0" w:line="240" w:lineRule="auto"/>
              <w:jc w:val="right"/>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91%</w:t>
            </w:r>
          </w:p>
        </w:tc>
        <w:tc>
          <w:tcPr>
            <w:tcW w:w="1985" w:type="dxa"/>
            <w:shd w:val="clear" w:color="auto" w:fill="auto"/>
            <w:noWrap/>
            <w:vAlign w:val="bottom"/>
            <w:hideMark/>
          </w:tcPr>
          <w:p w14:paraId="2D35EB0F" w14:textId="77777777" w:rsidR="00D70A74" w:rsidRPr="00EB4A49" w:rsidRDefault="00D70A74" w:rsidP="00D70A74">
            <w:pPr>
              <w:spacing w:after="0" w:line="240" w:lineRule="auto"/>
              <w:jc w:val="right"/>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9%</w:t>
            </w:r>
            <w:r w:rsidRPr="00EB4A49">
              <w:rPr>
                <w:rStyle w:val="FootnoteReference"/>
                <w:rFonts w:asciiTheme="majorHAnsi" w:eastAsia="Times New Roman" w:hAnsiTheme="majorHAnsi" w:cstheme="majorHAnsi"/>
                <w:color w:val="000000"/>
                <w:sz w:val="24"/>
                <w:szCs w:val="24"/>
                <w:lang w:eastAsia="en-GB"/>
              </w:rPr>
              <w:footnoteReference w:id="29"/>
            </w:r>
          </w:p>
        </w:tc>
      </w:tr>
      <w:tr w:rsidR="00D70A74" w:rsidRPr="00EB4A49" w14:paraId="3330E2FE" w14:textId="77777777" w:rsidTr="00D70A74">
        <w:trPr>
          <w:trHeight w:val="285"/>
        </w:trPr>
        <w:tc>
          <w:tcPr>
            <w:tcW w:w="2122" w:type="dxa"/>
            <w:shd w:val="clear" w:color="auto" w:fill="auto"/>
            <w:noWrap/>
            <w:vAlign w:val="bottom"/>
            <w:hideMark/>
          </w:tcPr>
          <w:p w14:paraId="4E60F499" w14:textId="77777777" w:rsidR="00D70A74" w:rsidRPr="00EB4A49" w:rsidRDefault="00D70A74" w:rsidP="00D70A74">
            <w:pPr>
              <w:spacing w:after="0" w:line="240" w:lineRule="auto"/>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CYP with SEN</w:t>
            </w:r>
            <w:r>
              <w:rPr>
                <w:rFonts w:asciiTheme="majorHAnsi" w:eastAsia="Times New Roman" w:hAnsiTheme="majorHAnsi" w:cstheme="majorHAnsi"/>
                <w:color w:val="000000"/>
                <w:sz w:val="24"/>
                <w:szCs w:val="24"/>
                <w:lang w:eastAsia="en-GB"/>
              </w:rPr>
              <w:t>D</w:t>
            </w:r>
            <w:r w:rsidRPr="00EB4A49">
              <w:rPr>
                <w:rFonts w:asciiTheme="majorHAnsi" w:eastAsia="Times New Roman" w:hAnsiTheme="majorHAnsi" w:cstheme="majorHAnsi"/>
                <w:color w:val="000000"/>
                <w:sz w:val="24"/>
                <w:szCs w:val="24"/>
                <w:lang w:eastAsia="en-GB"/>
              </w:rPr>
              <w:t xml:space="preserve"> at school in York</w:t>
            </w:r>
          </w:p>
        </w:tc>
        <w:tc>
          <w:tcPr>
            <w:tcW w:w="1984" w:type="dxa"/>
            <w:shd w:val="clear" w:color="auto" w:fill="auto"/>
            <w:noWrap/>
            <w:vAlign w:val="bottom"/>
            <w:hideMark/>
          </w:tcPr>
          <w:p w14:paraId="789483EB" w14:textId="77777777" w:rsidR="00D70A74" w:rsidRPr="00EB4A49" w:rsidRDefault="00D70A74" w:rsidP="00D70A74">
            <w:pPr>
              <w:spacing w:after="0" w:line="240" w:lineRule="auto"/>
              <w:jc w:val="right"/>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95%</w:t>
            </w:r>
          </w:p>
        </w:tc>
        <w:tc>
          <w:tcPr>
            <w:tcW w:w="1985" w:type="dxa"/>
            <w:shd w:val="clear" w:color="auto" w:fill="auto"/>
            <w:noWrap/>
            <w:vAlign w:val="bottom"/>
            <w:hideMark/>
          </w:tcPr>
          <w:p w14:paraId="7495D59D" w14:textId="77777777" w:rsidR="00D70A74" w:rsidRPr="00EB4A49" w:rsidRDefault="00D70A74" w:rsidP="00D70A74">
            <w:pPr>
              <w:spacing w:after="0" w:line="240" w:lineRule="auto"/>
              <w:jc w:val="right"/>
              <w:rPr>
                <w:rFonts w:asciiTheme="majorHAnsi" w:eastAsia="Times New Roman" w:hAnsiTheme="majorHAnsi" w:cstheme="majorHAnsi"/>
                <w:color w:val="000000"/>
                <w:sz w:val="24"/>
                <w:szCs w:val="24"/>
                <w:lang w:eastAsia="en-GB"/>
              </w:rPr>
            </w:pPr>
            <w:r w:rsidRPr="00EB4A49">
              <w:rPr>
                <w:rFonts w:asciiTheme="majorHAnsi" w:eastAsia="Times New Roman" w:hAnsiTheme="majorHAnsi" w:cstheme="majorHAnsi"/>
                <w:color w:val="000000"/>
                <w:sz w:val="24"/>
                <w:szCs w:val="24"/>
                <w:lang w:eastAsia="en-GB"/>
              </w:rPr>
              <w:t>5%</w:t>
            </w:r>
          </w:p>
        </w:tc>
      </w:tr>
    </w:tbl>
    <w:p w14:paraId="758106F5" w14:textId="77777777" w:rsidR="00D70A74" w:rsidRPr="00EB4A49" w:rsidRDefault="00D70A74" w:rsidP="00D70A74">
      <w:pPr>
        <w:rPr>
          <w:rFonts w:asciiTheme="majorHAnsi" w:hAnsiTheme="majorHAnsi" w:cstheme="majorHAnsi"/>
          <w:sz w:val="24"/>
          <w:szCs w:val="24"/>
        </w:rPr>
      </w:pPr>
    </w:p>
    <w:p w14:paraId="71F4D94A" w14:textId="77777777" w:rsidR="00D70A74" w:rsidRPr="00EB4A49" w:rsidRDefault="00D70A74" w:rsidP="00D70A74">
      <w:pPr>
        <w:rPr>
          <w:rFonts w:asciiTheme="majorHAnsi" w:hAnsiTheme="majorHAnsi" w:cstheme="majorHAnsi"/>
          <w:b/>
          <w:sz w:val="24"/>
          <w:szCs w:val="24"/>
        </w:rPr>
      </w:pPr>
      <w:r w:rsidRPr="00EB4A49">
        <w:rPr>
          <w:rFonts w:asciiTheme="majorHAnsi" w:hAnsiTheme="majorHAnsi" w:cstheme="majorHAnsi"/>
          <w:sz w:val="24"/>
          <w:szCs w:val="24"/>
        </w:rPr>
        <w:t>There are individual examples of young people needing to travel a long distance to get to school</w:t>
      </w:r>
      <w:r>
        <w:rPr>
          <w:rFonts w:asciiTheme="majorHAnsi" w:hAnsiTheme="majorHAnsi" w:cstheme="majorHAnsi"/>
          <w:sz w:val="24"/>
          <w:szCs w:val="24"/>
        </w:rPr>
        <w:t xml:space="preserve"> outside of York</w:t>
      </w:r>
      <w:r w:rsidRPr="00EB4A49">
        <w:rPr>
          <w:rFonts w:asciiTheme="majorHAnsi" w:hAnsiTheme="majorHAnsi" w:cstheme="majorHAnsi"/>
          <w:sz w:val="24"/>
          <w:szCs w:val="24"/>
        </w:rPr>
        <w:t xml:space="preserve"> that</w:t>
      </w:r>
      <w:r>
        <w:rPr>
          <w:rFonts w:asciiTheme="majorHAnsi" w:hAnsiTheme="majorHAnsi" w:cstheme="majorHAnsi"/>
          <w:sz w:val="24"/>
          <w:szCs w:val="24"/>
        </w:rPr>
        <w:t xml:space="preserve"> will likely have a substantial</w:t>
      </w:r>
      <w:r w:rsidRPr="00EB4A49">
        <w:rPr>
          <w:rFonts w:asciiTheme="majorHAnsi" w:hAnsiTheme="majorHAnsi" w:cstheme="majorHAnsi"/>
          <w:sz w:val="24"/>
          <w:szCs w:val="24"/>
        </w:rPr>
        <w:t xml:space="preserve"> impact on that individual young person. However, the data shows that overall, young people with SEN</w:t>
      </w:r>
      <w:r>
        <w:rPr>
          <w:rFonts w:asciiTheme="majorHAnsi" w:hAnsiTheme="majorHAnsi" w:cstheme="majorHAnsi"/>
          <w:sz w:val="24"/>
          <w:szCs w:val="24"/>
        </w:rPr>
        <w:t>D</w:t>
      </w:r>
      <w:r w:rsidRPr="00EB4A49">
        <w:rPr>
          <w:rFonts w:asciiTheme="majorHAnsi" w:hAnsiTheme="majorHAnsi" w:cstheme="majorHAnsi"/>
          <w:sz w:val="24"/>
          <w:szCs w:val="24"/>
        </w:rPr>
        <w:t xml:space="preserve"> are no more likely to have to cross a local authority border than any other group at school in York. </w:t>
      </w:r>
      <w:r w:rsidRPr="00EB4A49">
        <w:rPr>
          <w:rFonts w:asciiTheme="majorHAnsi" w:hAnsiTheme="majorHAnsi" w:cstheme="majorHAnsi"/>
          <w:b/>
          <w:sz w:val="24"/>
          <w:szCs w:val="24"/>
        </w:rPr>
        <w:t xml:space="preserve"> </w:t>
      </w:r>
    </w:p>
    <w:p w14:paraId="72B171E6" w14:textId="49BA389B" w:rsidR="00EF0835" w:rsidRDefault="00EF0835" w:rsidP="00FE254C">
      <w:pPr>
        <w:rPr>
          <w:rFonts w:asciiTheme="majorHAnsi" w:hAnsiTheme="majorHAnsi" w:cstheme="majorHAnsi"/>
          <w:sz w:val="24"/>
          <w:szCs w:val="24"/>
        </w:rPr>
      </w:pPr>
    </w:p>
    <w:p w14:paraId="081A7E5C" w14:textId="618E21AB" w:rsidR="00D70A74" w:rsidRDefault="00D70A74" w:rsidP="00FE254C">
      <w:pPr>
        <w:rPr>
          <w:rFonts w:asciiTheme="majorHAnsi" w:hAnsiTheme="majorHAnsi" w:cstheme="majorHAnsi"/>
          <w:sz w:val="24"/>
          <w:szCs w:val="24"/>
        </w:rPr>
      </w:pPr>
    </w:p>
    <w:p w14:paraId="24AE9143" w14:textId="77777777" w:rsidR="00D70A74" w:rsidRPr="00EB4A49" w:rsidRDefault="00D70A74" w:rsidP="00FE254C">
      <w:pPr>
        <w:rPr>
          <w:rFonts w:asciiTheme="majorHAnsi" w:hAnsiTheme="majorHAnsi" w:cstheme="majorHAnsi"/>
          <w:sz w:val="24"/>
          <w:szCs w:val="24"/>
        </w:rPr>
      </w:pPr>
    </w:p>
    <w:p w14:paraId="07291E50" w14:textId="4E1A89F8" w:rsidR="00A558AB" w:rsidRPr="00A558AB" w:rsidRDefault="00D70A74" w:rsidP="009D20B5">
      <w:pPr>
        <w:pStyle w:val="Heading2"/>
        <w:rPr>
          <w:rFonts w:cstheme="majorHAnsi"/>
          <w:sz w:val="24"/>
          <w:szCs w:val="24"/>
        </w:rPr>
      </w:pPr>
      <w:bookmarkStart w:id="21" w:name="_Toc58575081"/>
      <w:r>
        <w:rPr>
          <w:rFonts w:cstheme="majorHAnsi"/>
          <w:sz w:val="24"/>
          <w:szCs w:val="24"/>
        </w:rPr>
        <w:t>Engagement with parents and families</w:t>
      </w:r>
      <w:bookmarkEnd w:id="21"/>
      <w:r>
        <w:rPr>
          <w:rFonts w:cstheme="majorHAnsi"/>
          <w:sz w:val="24"/>
          <w:szCs w:val="24"/>
        </w:rPr>
        <w:t xml:space="preserve"> </w:t>
      </w:r>
    </w:p>
    <w:p w14:paraId="4622079C" w14:textId="76EB4045" w:rsidR="00D70A74" w:rsidRPr="00D70A74" w:rsidRDefault="00D70A74" w:rsidP="00A558AB">
      <w:pPr>
        <w:rPr>
          <w:rFonts w:cstheme="majorHAnsi"/>
          <w:b/>
          <w:sz w:val="24"/>
          <w:szCs w:val="24"/>
        </w:rPr>
      </w:pPr>
    </w:p>
    <w:p w14:paraId="775AB850" w14:textId="53E2FD73" w:rsidR="00A558AB" w:rsidRDefault="00A558AB" w:rsidP="00A558AB">
      <w:r>
        <w:t xml:space="preserve">All parents spent a lot of time sharing their experiences of their child’s education and schools.  Parents reported valuing consistent staff members as this builds trust and better communication. Additionally parents were more likely to relay a positive experience when they felt there was good communication and trust, even if the outcome could have been viewed as negative i.e. a school placement breaking down. </w:t>
      </w:r>
    </w:p>
    <w:p w14:paraId="6E5DD5A3" w14:textId="6AF249B9" w:rsidR="00A558AB" w:rsidRPr="0076332B" w:rsidRDefault="00A558AB" w:rsidP="00A558AB">
      <w:pPr>
        <w:rPr>
          <w:b/>
        </w:rPr>
      </w:pPr>
      <w:r w:rsidRPr="00F03E75">
        <w:rPr>
          <w:b/>
        </w:rPr>
        <w:t>Recommendation: To review the routine communications</w:t>
      </w:r>
      <w:r w:rsidR="00D70A74">
        <w:rPr>
          <w:b/>
        </w:rPr>
        <w:t xml:space="preserve"> send out</w:t>
      </w:r>
      <w:r w:rsidRPr="00F03E75">
        <w:rPr>
          <w:b/>
        </w:rPr>
        <w:t xml:space="preserve"> to parents of children with SEND, this might include the information sent around the creation and review of a support plan or EHCP</w:t>
      </w:r>
      <w:r>
        <w:rPr>
          <w:b/>
        </w:rPr>
        <w:t xml:space="preserve">, as well as other key points. </w:t>
      </w:r>
      <w:r w:rsidRPr="00F03E75">
        <w:rPr>
          <w:b/>
        </w:rPr>
        <w:t xml:space="preserve"> </w:t>
      </w:r>
    </w:p>
    <w:p w14:paraId="1AA0B408" w14:textId="0C1042E9" w:rsidR="00A558AB" w:rsidRDefault="00A558AB" w:rsidP="00A558AB">
      <w:r>
        <w:t>Several parents described long term concern about their child’s education and wellbeing. The</w:t>
      </w:r>
      <w:r w:rsidR="00D70A74">
        <w:t xml:space="preserve"> interviews created an</w:t>
      </w:r>
      <w:r>
        <w:t xml:space="preserve"> impression of a pattern of </w:t>
      </w:r>
      <w:r w:rsidR="00D70A74">
        <w:t xml:space="preserve">some </w:t>
      </w:r>
      <w:r>
        <w:t xml:space="preserve">parents having many months of concern before meeting with the school. One parent said she ‘didn’t want to rock the boat’, another expressed uncertainty about where to start. There was an impression from parents that they did not feel enabled to have a conversation about their concerns, or confident that their voice would be heard. Two parents in particular voiced the view that they were ‘on their own’ or that professionals ‘closed ranks’.  </w:t>
      </w:r>
    </w:p>
    <w:p w14:paraId="22274B82" w14:textId="34EFB40C" w:rsidR="00A558AB" w:rsidRDefault="00A558AB" w:rsidP="00A558AB">
      <w:pPr>
        <w:rPr>
          <w:b/>
        </w:rPr>
      </w:pPr>
      <w:r>
        <w:rPr>
          <w:b/>
        </w:rPr>
        <w:t>Recommendation: F</w:t>
      </w:r>
      <w:r w:rsidRPr="00903602">
        <w:rPr>
          <w:b/>
        </w:rPr>
        <w:t>or the SEND improvement board to creatively consider how it might engage parents in routine conversations about their ex</w:t>
      </w:r>
      <w:r>
        <w:rPr>
          <w:b/>
        </w:rPr>
        <w:t>periences of education for their child,</w:t>
      </w:r>
      <w:r w:rsidRPr="00903602">
        <w:rPr>
          <w:b/>
        </w:rPr>
        <w:t xml:space="preserve"> this includes pare</w:t>
      </w:r>
      <w:r w:rsidR="000C62BF">
        <w:rPr>
          <w:b/>
        </w:rPr>
        <w:t>nts of children who have EHCP, SEN-support</w:t>
      </w:r>
      <w:r w:rsidRPr="00903602">
        <w:rPr>
          <w:b/>
        </w:rPr>
        <w:t xml:space="preserve">, are awaiting a diagnosis. </w:t>
      </w:r>
      <w:r>
        <w:rPr>
          <w:b/>
        </w:rPr>
        <w:t>Ideally this would be developed in coproduction with parents</w:t>
      </w:r>
      <w:r w:rsidR="00D70A74">
        <w:rPr>
          <w:b/>
        </w:rPr>
        <w:t>.</w:t>
      </w:r>
    </w:p>
    <w:p w14:paraId="58888155" w14:textId="77777777" w:rsidR="00325B2D" w:rsidRDefault="00325B2D" w:rsidP="00FE254C"/>
    <w:p w14:paraId="07D6822F" w14:textId="77777777" w:rsidR="000E6DA0" w:rsidRDefault="000E6DA0" w:rsidP="00FE254C"/>
    <w:p w14:paraId="4B4CF28E" w14:textId="77777777" w:rsidR="000E6DA0" w:rsidRPr="00EB4A49" w:rsidRDefault="000E6DA0" w:rsidP="00FE254C">
      <w:pPr>
        <w:rPr>
          <w:rFonts w:asciiTheme="majorHAnsi" w:hAnsiTheme="majorHAnsi" w:cstheme="majorHAnsi"/>
          <w:sz w:val="24"/>
          <w:szCs w:val="24"/>
        </w:rPr>
      </w:pPr>
    </w:p>
    <w:p w14:paraId="521AB3E3" w14:textId="77777777" w:rsidR="00177DBD" w:rsidRPr="0099038F" w:rsidRDefault="00177DBD" w:rsidP="0099038F">
      <w:pPr>
        <w:pStyle w:val="Heading1"/>
        <w:rPr>
          <w:rFonts w:cstheme="majorHAnsi"/>
          <w:b/>
          <w:sz w:val="24"/>
          <w:szCs w:val="24"/>
        </w:rPr>
      </w:pPr>
      <w:bookmarkStart w:id="22" w:name="_Toc58575082"/>
      <w:r w:rsidRPr="00EB4A49">
        <w:rPr>
          <w:rFonts w:cstheme="majorHAnsi"/>
          <w:b/>
          <w:sz w:val="24"/>
          <w:szCs w:val="24"/>
        </w:rPr>
        <w:t>Outcomes</w:t>
      </w:r>
      <w:bookmarkEnd w:id="22"/>
      <w:r w:rsidRPr="00EB4A49">
        <w:rPr>
          <w:rFonts w:cstheme="majorHAnsi"/>
          <w:b/>
          <w:sz w:val="24"/>
          <w:szCs w:val="24"/>
        </w:rPr>
        <w:t xml:space="preserve"> </w:t>
      </w:r>
    </w:p>
    <w:p w14:paraId="6573EC1F" w14:textId="54F3638F" w:rsidR="007B293A" w:rsidRDefault="007B293A" w:rsidP="00983257">
      <w:pPr>
        <w:rPr>
          <w:rFonts w:asciiTheme="majorHAnsi" w:hAnsiTheme="majorHAnsi" w:cstheme="majorHAnsi"/>
          <w:sz w:val="24"/>
          <w:szCs w:val="24"/>
        </w:rPr>
      </w:pPr>
    </w:p>
    <w:p w14:paraId="183F5A11" w14:textId="758864BC" w:rsidR="00D70A74" w:rsidRPr="00EB4A49" w:rsidRDefault="00D70A74" w:rsidP="00983257">
      <w:pPr>
        <w:rPr>
          <w:rFonts w:asciiTheme="majorHAnsi" w:hAnsiTheme="majorHAnsi" w:cstheme="majorHAnsi"/>
          <w:sz w:val="24"/>
          <w:szCs w:val="24"/>
        </w:rPr>
      </w:pPr>
      <w:r>
        <w:rPr>
          <w:rFonts w:asciiTheme="majorHAnsi" w:hAnsiTheme="majorHAnsi" w:cstheme="majorHAnsi"/>
          <w:sz w:val="24"/>
          <w:szCs w:val="24"/>
        </w:rPr>
        <w:t xml:space="preserve">This sections look at children and young people’s outcomes in relation to the curriculum and skills development. This section focuses on two specific outcomes measures. Firstly, ‘school readiness’ which is measured in the reception year, and secondly attainment eight which is an academic marker at the end of secondary school/ . </w:t>
      </w:r>
    </w:p>
    <w:p w14:paraId="2B36473E" w14:textId="77777777" w:rsidR="00A36F4C" w:rsidRPr="009D20B5" w:rsidRDefault="00A36F4C" w:rsidP="001074AF">
      <w:pPr>
        <w:pStyle w:val="Heading2"/>
        <w:rPr>
          <w:rFonts w:cstheme="majorHAnsi"/>
          <w:sz w:val="24"/>
          <w:szCs w:val="24"/>
        </w:rPr>
      </w:pPr>
      <w:bookmarkStart w:id="23" w:name="_Toc58575083"/>
      <w:r w:rsidRPr="009D20B5">
        <w:rPr>
          <w:rFonts w:cstheme="majorHAnsi"/>
          <w:sz w:val="24"/>
          <w:szCs w:val="24"/>
        </w:rPr>
        <w:t>School Readiness</w:t>
      </w:r>
      <w:bookmarkEnd w:id="23"/>
    </w:p>
    <w:p w14:paraId="5C57D12A" w14:textId="3DF65779" w:rsidR="00A36F4C" w:rsidRPr="00EB4A49" w:rsidRDefault="00D70A74" w:rsidP="00A36F4C">
      <w:pPr>
        <w:rPr>
          <w:rFonts w:asciiTheme="majorHAnsi" w:hAnsiTheme="majorHAnsi" w:cstheme="majorHAnsi"/>
          <w:sz w:val="24"/>
          <w:szCs w:val="24"/>
        </w:rPr>
      </w:pPr>
      <w:r>
        <w:rPr>
          <w:rFonts w:asciiTheme="majorHAnsi" w:hAnsiTheme="majorHAnsi" w:cstheme="majorHAnsi"/>
          <w:sz w:val="24"/>
          <w:szCs w:val="24"/>
        </w:rPr>
        <w:t xml:space="preserve">The measure taken in the reception year looks at whether a child has achieved a ‘good level of development’ across 17 learning goal areas. This 17 learning areas cover personal development, social and emotional development, physical development, and communication </w:t>
      </w:r>
      <w:r>
        <w:rPr>
          <w:rFonts w:asciiTheme="majorHAnsi" w:hAnsiTheme="majorHAnsi" w:cstheme="majorHAnsi"/>
          <w:sz w:val="24"/>
          <w:szCs w:val="24"/>
        </w:rPr>
        <w:lastRenderedPageBreak/>
        <w:t xml:space="preserve">and language, as well as some early goals in maths and literacy skill. </w:t>
      </w:r>
      <w:r w:rsidR="00A36F4C" w:rsidRPr="00EB4A49">
        <w:rPr>
          <w:rFonts w:asciiTheme="majorHAnsi" w:hAnsiTheme="majorHAnsi" w:cstheme="majorHAnsi"/>
          <w:sz w:val="24"/>
          <w:szCs w:val="24"/>
        </w:rPr>
        <w:t>York, 75% of children achieve this</w:t>
      </w:r>
      <w:r w:rsidR="00A36F4C" w:rsidRPr="00EB4A49">
        <w:rPr>
          <w:rStyle w:val="FootnoteReference"/>
          <w:rFonts w:asciiTheme="majorHAnsi" w:hAnsiTheme="majorHAnsi" w:cstheme="majorHAnsi"/>
          <w:sz w:val="24"/>
          <w:szCs w:val="24"/>
        </w:rPr>
        <w:footnoteReference w:id="30"/>
      </w:r>
      <w:r w:rsidR="00A36F4C" w:rsidRPr="00EB4A49">
        <w:rPr>
          <w:rFonts w:asciiTheme="majorHAnsi" w:hAnsiTheme="majorHAnsi" w:cstheme="majorHAnsi"/>
          <w:sz w:val="24"/>
          <w:szCs w:val="24"/>
        </w:rPr>
        <w:t>, overall York is on a strong upward trend</w:t>
      </w:r>
      <w:r w:rsidR="00A36F4C" w:rsidRPr="00EB4A49">
        <w:rPr>
          <w:rStyle w:val="FootnoteReference"/>
          <w:rFonts w:asciiTheme="majorHAnsi" w:hAnsiTheme="majorHAnsi" w:cstheme="majorHAnsi"/>
          <w:sz w:val="24"/>
          <w:szCs w:val="24"/>
        </w:rPr>
        <w:footnoteReference w:id="31"/>
      </w:r>
      <w:r w:rsidR="0099038F">
        <w:rPr>
          <w:rFonts w:asciiTheme="majorHAnsi" w:hAnsiTheme="majorHAnsi" w:cstheme="majorHAnsi"/>
          <w:sz w:val="24"/>
          <w:szCs w:val="24"/>
        </w:rPr>
        <w:t xml:space="preserve"> with year on year progress. </w:t>
      </w:r>
    </w:p>
    <w:p w14:paraId="30002894"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 xml:space="preserve">GLD is calculated on a points system, with children scored at 1 (emerging) 2 (expected), or 3 (exceeded), across 17 learning goal areas. </w:t>
      </w:r>
      <w:r w:rsidR="0099038F">
        <w:rPr>
          <w:rFonts w:asciiTheme="majorHAnsi" w:hAnsiTheme="majorHAnsi" w:cstheme="majorHAnsi"/>
          <w:sz w:val="24"/>
          <w:szCs w:val="24"/>
        </w:rPr>
        <w:t xml:space="preserve">Scores range from 17 to 51, with a score of 34 indicating the child is achieving an expected level of development. </w:t>
      </w:r>
    </w:p>
    <w:tbl>
      <w:tblPr>
        <w:tblStyle w:val="TableGrid"/>
        <w:tblW w:w="0" w:type="auto"/>
        <w:tblLook w:val="04A0" w:firstRow="1" w:lastRow="0" w:firstColumn="1" w:lastColumn="0" w:noHBand="0" w:noVBand="1"/>
      </w:tblPr>
      <w:tblGrid>
        <w:gridCol w:w="3256"/>
        <w:gridCol w:w="1984"/>
        <w:gridCol w:w="1985"/>
        <w:gridCol w:w="1791"/>
      </w:tblGrid>
      <w:tr w:rsidR="005C3B4B" w:rsidRPr="00EB4A49" w14:paraId="4B6A4EB4" w14:textId="77777777" w:rsidTr="005C3B4B">
        <w:tc>
          <w:tcPr>
            <w:tcW w:w="9016" w:type="dxa"/>
            <w:gridSpan w:val="4"/>
          </w:tcPr>
          <w:p w14:paraId="112173F6"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Learning goal scores</w:t>
            </w:r>
            <w:r w:rsidR="00013C6E" w:rsidRPr="00EB4A49">
              <w:rPr>
                <w:rFonts w:asciiTheme="majorHAnsi" w:hAnsiTheme="majorHAnsi" w:cstheme="majorHAnsi"/>
                <w:sz w:val="24"/>
                <w:szCs w:val="24"/>
              </w:rPr>
              <w:t xml:space="preserve"> (points)</w:t>
            </w:r>
          </w:p>
        </w:tc>
      </w:tr>
      <w:tr w:rsidR="005C3B4B" w:rsidRPr="00EB4A49" w14:paraId="53660563" w14:textId="77777777" w:rsidTr="005C3B4B">
        <w:tc>
          <w:tcPr>
            <w:tcW w:w="3256" w:type="dxa"/>
          </w:tcPr>
          <w:p w14:paraId="485A1AEB" w14:textId="77777777" w:rsidR="005C3B4B" w:rsidRPr="00EB4A49" w:rsidRDefault="005C3B4B" w:rsidP="00A36F4C">
            <w:pPr>
              <w:rPr>
                <w:rFonts w:asciiTheme="majorHAnsi" w:hAnsiTheme="majorHAnsi" w:cstheme="majorHAnsi"/>
                <w:sz w:val="24"/>
                <w:szCs w:val="24"/>
              </w:rPr>
            </w:pPr>
          </w:p>
        </w:tc>
        <w:tc>
          <w:tcPr>
            <w:tcW w:w="1984" w:type="dxa"/>
          </w:tcPr>
          <w:p w14:paraId="43C786CF"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No SEN</w:t>
            </w:r>
          </w:p>
        </w:tc>
        <w:tc>
          <w:tcPr>
            <w:tcW w:w="1985" w:type="dxa"/>
          </w:tcPr>
          <w:p w14:paraId="588B7A15"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EHCP</w:t>
            </w:r>
          </w:p>
        </w:tc>
        <w:tc>
          <w:tcPr>
            <w:tcW w:w="1791" w:type="dxa"/>
          </w:tcPr>
          <w:p w14:paraId="79D74B05"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SEN-support</w:t>
            </w:r>
          </w:p>
        </w:tc>
      </w:tr>
      <w:tr w:rsidR="005C3B4B" w:rsidRPr="00EB4A49" w14:paraId="1E6AEFAF" w14:textId="77777777" w:rsidTr="005C3B4B">
        <w:tc>
          <w:tcPr>
            <w:tcW w:w="3256" w:type="dxa"/>
          </w:tcPr>
          <w:p w14:paraId="0BE98980"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York</w:t>
            </w:r>
          </w:p>
        </w:tc>
        <w:tc>
          <w:tcPr>
            <w:tcW w:w="1984" w:type="dxa"/>
          </w:tcPr>
          <w:p w14:paraId="194CA182"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37</w:t>
            </w:r>
          </w:p>
        </w:tc>
        <w:tc>
          <w:tcPr>
            <w:tcW w:w="1985" w:type="dxa"/>
          </w:tcPr>
          <w:p w14:paraId="2BDCBFEF"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19</w:t>
            </w:r>
          </w:p>
        </w:tc>
        <w:tc>
          <w:tcPr>
            <w:tcW w:w="1791" w:type="dxa"/>
          </w:tcPr>
          <w:p w14:paraId="4EBC0725"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27</w:t>
            </w:r>
          </w:p>
        </w:tc>
      </w:tr>
      <w:tr w:rsidR="005C3B4B" w:rsidRPr="00EB4A49" w14:paraId="648F3068" w14:textId="77777777" w:rsidTr="005C3B4B">
        <w:tc>
          <w:tcPr>
            <w:tcW w:w="3256" w:type="dxa"/>
          </w:tcPr>
          <w:p w14:paraId="0779CCDE"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CIPFA Neighbours</w:t>
            </w:r>
            <w:r w:rsidRPr="00EB4A49">
              <w:rPr>
                <w:rStyle w:val="FootnoteReference"/>
                <w:rFonts w:asciiTheme="majorHAnsi" w:hAnsiTheme="majorHAnsi" w:cstheme="majorHAnsi"/>
                <w:sz w:val="24"/>
                <w:szCs w:val="24"/>
              </w:rPr>
              <w:footnoteReference w:id="32"/>
            </w:r>
          </w:p>
        </w:tc>
        <w:tc>
          <w:tcPr>
            <w:tcW w:w="1984" w:type="dxa"/>
          </w:tcPr>
          <w:p w14:paraId="66B50E47"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36</w:t>
            </w:r>
          </w:p>
        </w:tc>
        <w:tc>
          <w:tcPr>
            <w:tcW w:w="1985" w:type="dxa"/>
          </w:tcPr>
          <w:p w14:paraId="4AF1AB62"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19</w:t>
            </w:r>
          </w:p>
        </w:tc>
        <w:tc>
          <w:tcPr>
            <w:tcW w:w="1791" w:type="dxa"/>
          </w:tcPr>
          <w:p w14:paraId="3448B687"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27</w:t>
            </w:r>
          </w:p>
        </w:tc>
      </w:tr>
      <w:tr w:rsidR="005C3B4B" w:rsidRPr="00EB4A49" w14:paraId="41B96852" w14:textId="77777777" w:rsidTr="005C3B4B">
        <w:tc>
          <w:tcPr>
            <w:tcW w:w="3256" w:type="dxa"/>
          </w:tcPr>
          <w:p w14:paraId="6440FE0A"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England</w:t>
            </w:r>
          </w:p>
        </w:tc>
        <w:tc>
          <w:tcPr>
            <w:tcW w:w="1984" w:type="dxa"/>
          </w:tcPr>
          <w:p w14:paraId="2C5EB3EE"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36</w:t>
            </w:r>
          </w:p>
        </w:tc>
        <w:tc>
          <w:tcPr>
            <w:tcW w:w="1985" w:type="dxa"/>
          </w:tcPr>
          <w:p w14:paraId="48297353"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19</w:t>
            </w:r>
          </w:p>
        </w:tc>
        <w:tc>
          <w:tcPr>
            <w:tcW w:w="1791" w:type="dxa"/>
          </w:tcPr>
          <w:p w14:paraId="793A0407" w14:textId="77777777" w:rsidR="005C3B4B"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27</w:t>
            </w:r>
          </w:p>
        </w:tc>
      </w:tr>
    </w:tbl>
    <w:p w14:paraId="00E3DB4C" w14:textId="77777777" w:rsidR="005C3B4B" w:rsidRPr="00EB4A49" w:rsidRDefault="005C3B4B" w:rsidP="00A36F4C">
      <w:pPr>
        <w:rPr>
          <w:rFonts w:asciiTheme="majorHAnsi" w:hAnsiTheme="majorHAnsi" w:cstheme="majorHAnsi"/>
          <w:sz w:val="24"/>
          <w:szCs w:val="24"/>
        </w:rPr>
      </w:pPr>
    </w:p>
    <w:p w14:paraId="4060AD5A" w14:textId="2CFF985C" w:rsidR="00013C6E" w:rsidRPr="00EB4A49" w:rsidRDefault="005C3B4B" w:rsidP="00A36F4C">
      <w:pPr>
        <w:rPr>
          <w:rFonts w:asciiTheme="majorHAnsi" w:hAnsiTheme="majorHAnsi" w:cstheme="majorHAnsi"/>
          <w:sz w:val="24"/>
          <w:szCs w:val="24"/>
        </w:rPr>
      </w:pPr>
      <w:r w:rsidRPr="00EB4A49">
        <w:rPr>
          <w:rFonts w:asciiTheme="majorHAnsi" w:hAnsiTheme="majorHAnsi" w:cstheme="majorHAnsi"/>
          <w:sz w:val="24"/>
          <w:szCs w:val="24"/>
        </w:rPr>
        <w:t>The table shows very littl</w:t>
      </w:r>
      <w:r w:rsidR="00013C6E" w:rsidRPr="00EB4A49">
        <w:rPr>
          <w:rFonts w:asciiTheme="majorHAnsi" w:hAnsiTheme="majorHAnsi" w:cstheme="majorHAnsi"/>
          <w:sz w:val="24"/>
          <w:szCs w:val="24"/>
        </w:rPr>
        <w:t xml:space="preserve">e difference between the York, </w:t>
      </w:r>
      <w:r w:rsidRPr="00EB4A49">
        <w:rPr>
          <w:rFonts w:asciiTheme="majorHAnsi" w:hAnsiTheme="majorHAnsi" w:cstheme="majorHAnsi"/>
          <w:sz w:val="24"/>
          <w:szCs w:val="24"/>
        </w:rPr>
        <w:t>authorities</w:t>
      </w:r>
      <w:r w:rsidR="00013C6E" w:rsidRPr="00EB4A49">
        <w:rPr>
          <w:rFonts w:asciiTheme="majorHAnsi" w:hAnsiTheme="majorHAnsi" w:cstheme="majorHAnsi"/>
          <w:sz w:val="24"/>
          <w:szCs w:val="24"/>
        </w:rPr>
        <w:t xml:space="preserve"> similar to York</w:t>
      </w:r>
      <w:r w:rsidRPr="00EB4A49">
        <w:rPr>
          <w:rFonts w:asciiTheme="majorHAnsi" w:hAnsiTheme="majorHAnsi" w:cstheme="majorHAnsi"/>
          <w:sz w:val="24"/>
          <w:szCs w:val="24"/>
        </w:rPr>
        <w:t>, and England average</w:t>
      </w:r>
      <w:r w:rsidR="0099038F">
        <w:rPr>
          <w:rFonts w:asciiTheme="majorHAnsi" w:hAnsiTheme="majorHAnsi" w:cstheme="majorHAnsi"/>
          <w:sz w:val="24"/>
          <w:szCs w:val="24"/>
        </w:rPr>
        <w:t>. Children without SEN</w:t>
      </w:r>
      <w:r w:rsidR="00911F35">
        <w:rPr>
          <w:rFonts w:asciiTheme="majorHAnsi" w:hAnsiTheme="majorHAnsi" w:cstheme="majorHAnsi"/>
          <w:sz w:val="24"/>
          <w:szCs w:val="24"/>
        </w:rPr>
        <w:t>D</w:t>
      </w:r>
      <w:r w:rsidR="0099038F">
        <w:rPr>
          <w:rFonts w:asciiTheme="majorHAnsi" w:hAnsiTheme="majorHAnsi" w:cstheme="majorHAnsi"/>
          <w:sz w:val="24"/>
          <w:szCs w:val="24"/>
        </w:rPr>
        <w:t xml:space="preserve"> </w:t>
      </w:r>
      <w:r w:rsidRPr="00EB4A49">
        <w:rPr>
          <w:rFonts w:asciiTheme="majorHAnsi" w:hAnsiTheme="majorHAnsi" w:cstheme="majorHAnsi"/>
          <w:sz w:val="24"/>
          <w:szCs w:val="24"/>
        </w:rPr>
        <w:t xml:space="preserve">are mainly scoring a ‘2’ indicating an expected level of development in most domains. </w:t>
      </w:r>
      <w:r w:rsidR="0099038F">
        <w:rPr>
          <w:rFonts w:asciiTheme="majorHAnsi" w:hAnsiTheme="majorHAnsi" w:cstheme="majorHAnsi"/>
          <w:sz w:val="24"/>
          <w:szCs w:val="24"/>
        </w:rPr>
        <w:t>Children</w:t>
      </w:r>
      <w:r w:rsidRPr="00EB4A49">
        <w:rPr>
          <w:rFonts w:asciiTheme="majorHAnsi" w:hAnsiTheme="majorHAnsi" w:cstheme="majorHAnsi"/>
          <w:sz w:val="24"/>
          <w:szCs w:val="24"/>
        </w:rPr>
        <w:t xml:space="preserve"> with an EHCP </w:t>
      </w:r>
      <w:r w:rsidR="0099038F">
        <w:rPr>
          <w:rFonts w:asciiTheme="majorHAnsi" w:hAnsiTheme="majorHAnsi" w:cstheme="majorHAnsi"/>
          <w:sz w:val="24"/>
          <w:szCs w:val="24"/>
        </w:rPr>
        <w:t xml:space="preserve">are mainly </w:t>
      </w:r>
      <w:r w:rsidRPr="00EB4A49">
        <w:rPr>
          <w:rFonts w:asciiTheme="majorHAnsi" w:hAnsiTheme="majorHAnsi" w:cstheme="majorHAnsi"/>
          <w:sz w:val="24"/>
          <w:szCs w:val="24"/>
        </w:rPr>
        <w:t>scoring a ‘1’ indicating an emergin</w:t>
      </w:r>
      <w:r w:rsidR="0099038F">
        <w:rPr>
          <w:rFonts w:asciiTheme="majorHAnsi" w:hAnsiTheme="majorHAnsi" w:cstheme="majorHAnsi"/>
          <w:sz w:val="24"/>
          <w:szCs w:val="24"/>
        </w:rPr>
        <w:t xml:space="preserve">g level of development, and children </w:t>
      </w:r>
      <w:r w:rsidRPr="00EB4A49">
        <w:rPr>
          <w:rFonts w:asciiTheme="majorHAnsi" w:hAnsiTheme="majorHAnsi" w:cstheme="majorHAnsi"/>
          <w:sz w:val="24"/>
          <w:szCs w:val="24"/>
        </w:rPr>
        <w:t xml:space="preserve"> with SEN-support </w:t>
      </w:r>
      <w:r w:rsidR="0099038F">
        <w:rPr>
          <w:rFonts w:asciiTheme="majorHAnsi" w:hAnsiTheme="majorHAnsi" w:cstheme="majorHAnsi"/>
          <w:sz w:val="24"/>
          <w:szCs w:val="24"/>
        </w:rPr>
        <w:t xml:space="preserve">generally have a mix </w:t>
      </w:r>
      <w:r w:rsidRPr="00EB4A49">
        <w:rPr>
          <w:rFonts w:asciiTheme="majorHAnsi" w:hAnsiTheme="majorHAnsi" w:cstheme="majorHAnsi"/>
          <w:sz w:val="24"/>
          <w:szCs w:val="24"/>
        </w:rPr>
        <w:t xml:space="preserve">of ‘1’ and ‘2’ scores. </w:t>
      </w:r>
      <w:r w:rsidR="00013C6E" w:rsidRPr="00EB4A49">
        <w:rPr>
          <w:rFonts w:asciiTheme="majorHAnsi" w:hAnsiTheme="majorHAnsi" w:cstheme="majorHAnsi"/>
          <w:sz w:val="24"/>
          <w:szCs w:val="24"/>
        </w:rPr>
        <w:t xml:space="preserve">Although York is in line with other areas for these scores, it is notable that there is a clear separation between the three groups of pupils by the time they start school. </w:t>
      </w:r>
    </w:p>
    <w:p w14:paraId="5D6D5D01" w14:textId="77777777" w:rsidR="009D20B5" w:rsidRPr="0099038F" w:rsidRDefault="009D20B5" w:rsidP="00177DBD">
      <w:pPr>
        <w:rPr>
          <w:rFonts w:asciiTheme="majorHAnsi" w:hAnsiTheme="majorHAnsi" w:cstheme="majorHAnsi"/>
          <w:sz w:val="24"/>
          <w:szCs w:val="24"/>
        </w:rPr>
      </w:pPr>
    </w:p>
    <w:p w14:paraId="4795D9E9" w14:textId="77777777" w:rsidR="00A36F4C" w:rsidRPr="00EB4A49" w:rsidRDefault="00A36F4C" w:rsidP="001074AF">
      <w:pPr>
        <w:pStyle w:val="Heading2"/>
        <w:rPr>
          <w:rFonts w:cstheme="majorHAnsi"/>
          <w:sz w:val="24"/>
          <w:szCs w:val="24"/>
        </w:rPr>
      </w:pPr>
      <w:bookmarkStart w:id="24" w:name="_Toc58575084"/>
      <w:r w:rsidRPr="00EB4A49">
        <w:rPr>
          <w:rFonts w:cstheme="majorHAnsi"/>
          <w:sz w:val="24"/>
          <w:szCs w:val="24"/>
        </w:rPr>
        <w:t>Attainment 8</w:t>
      </w:r>
      <w:bookmarkEnd w:id="24"/>
      <w:r w:rsidRPr="00EB4A49">
        <w:rPr>
          <w:rFonts w:cstheme="majorHAnsi"/>
          <w:sz w:val="24"/>
          <w:szCs w:val="24"/>
        </w:rPr>
        <w:t xml:space="preserve"> </w:t>
      </w:r>
    </w:p>
    <w:p w14:paraId="5AD5A4B9" w14:textId="77777777" w:rsidR="00A36F4C" w:rsidRPr="00EB4A49" w:rsidRDefault="00A36F4C" w:rsidP="00A36F4C">
      <w:pPr>
        <w:rPr>
          <w:rFonts w:asciiTheme="majorHAnsi" w:hAnsiTheme="majorHAnsi" w:cstheme="majorHAnsi"/>
          <w:sz w:val="24"/>
          <w:szCs w:val="24"/>
        </w:rPr>
      </w:pPr>
      <w:r w:rsidRPr="00EB4A49">
        <w:rPr>
          <w:rFonts w:asciiTheme="majorHAnsi" w:hAnsiTheme="majorHAnsi" w:cstheme="majorHAnsi"/>
          <w:sz w:val="24"/>
          <w:szCs w:val="24"/>
        </w:rPr>
        <w:t xml:space="preserve">Attainment 8 is the core set of qualifications young </w:t>
      </w:r>
      <w:r w:rsidR="00D31A3F" w:rsidRPr="00EB4A49">
        <w:rPr>
          <w:rFonts w:asciiTheme="majorHAnsi" w:hAnsiTheme="majorHAnsi" w:cstheme="majorHAnsi"/>
          <w:sz w:val="24"/>
          <w:szCs w:val="24"/>
        </w:rPr>
        <w:t>people undertake at age of 16. It is mean score of the eight subject results for that pupil (Maths and</w:t>
      </w:r>
      <w:r w:rsidR="0099038F">
        <w:rPr>
          <w:rFonts w:asciiTheme="majorHAnsi" w:hAnsiTheme="majorHAnsi" w:cstheme="majorHAnsi"/>
          <w:sz w:val="24"/>
          <w:szCs w:val="24"/>
        </w:rPr>
        <w:t xml:space="preserve"> English are double weighted, thus </w:t>
      </w:r>
      <w:r w:rsidR="00D31A3F" w:rsidRPr="00EB4A49">
        <w:rPr>
          <w:rFonts w:asciiTheme="majorHAnsi" w:hAnsiTheme="majorHAnsi" w:cstheme="majorHAnsi"/>
          <w:sz w:val="24"/>
          <w:szCs w:val="24"/>
        </w:rPr>
        <w:t xml:space="preserve">the </w:t>
      </w:r>
      <w:r w:rsidR="005624CD" w:rsidRPr="00EB4A49">
        <w:rPr>
          <w:rFonts w:asciiTheme="majorHAnsi" w:hAnsiTheme="majorHAnsi" w:cstheme="majorHAnsi"/>
          <w:sz w:val="24"/>
          <w:szCs w:val="24"/>
        </w:rPr>
        <w:t xml:space="preserve">total </w:t>
      </w:r>
      <w:r w:rsidR="00D31A3F" w:rsidRPr="00EB4A49">
        <w:rPr>
          <w:rFonts w:asciiTheme="majorHAnsi" w:hAnsiTheme="majorHAnsi" w:cstheme="majorHAnsi"/>
          <w:sz w:val="24"/>
          <w:szCs w:val="24"/>
        </w:rPr>
        <w:t>score is divided by 10). A score of 40 would indicate an average of ‘4’ across all subjects (equivalent</w:t>
      </w:r>
      <w:r w:rsidR="005624CD" w:rsidRPr="00EB4A49">
        <w:rPr>
          <w:rFonts w:asciiTheme="majorHAnsi" w:hAnsiTheme="majorHAnsi" w:cstheme="majorHAnsi"/>
          <w:sz w:val="24"/>
          <w:szCs w:val="24"/>
        </w:rPr>
        <w:t xml:space="preserve"> to 10 C grades).</w:t>
      </w:r>
    </w:p>
    <w:tbl>
      <w:tblPr>
        <w:tblStyle w:val="TableGrid"/>
        <w:tblW w:w="0" w:type="auto"/>
        <w:tblLook w:val="04A0" w:firstRow="1" w:lastRow="0" w:firstColumn="1" w:lastColumn="0" w:noHBand="0" w:noVBand="1"/>
      </w:tblPr>
      <w:tblGrid>
        <w:gridCol w:w="2254"/>
        <w:gridCol w:w="2254"/>
        <w:gridCol w:w="2254"/>
        <w:gridCol w:w="2254"/>
      </w:tblGrid>
      <w:tr w:rsidR="00754041" w:rsidRPr="00EB4A49" w14:paraId="66A0A6D5" w14:textId="77777777" w:rsidTr="007C2B95">
        <w:tc>
          <w:tcPr>
            <w:tcW w:w="9016" w:type="dxa"/>
            <w:gridSpan w:val="4"/>
          </w:tcPr>
          <w:p w14:paraId="511D2852" w14:textId="77777777" w:rsidR="00754041" w:rsidRPr="00EB4A49" w:rsidRDefault="00754041" w:rsidP="00A36F4C">
            <w:pPr>
              <w:rPr>
                <w:rFonts w:asciiTheme="majorHAnsi" w:hAnsiTheme="majorHAnsi" w:cstheme="majorHAnsi"/>
                <w:sz w:val="24"/>
                <w:szCs w:val="24"/>
              </w:rPr>
            </w:pPr>
            <w:r w:rsidRPr="00EB4A49">
              <w:rPr>
                <w:rFonts w:asciiTheme="majorHAnsi" w:hAnsiTheme="majorHAnsi" w:cstheme="majorHAnsi"/>
                <w:sz w:val="24"/>
                <w:szCs w:val="24"/>
              </w:rPr>
              <w:t>Average Attainment 8 score</w:t>
            </w:r>
            <w:r w:rsidRPr="00EB4A49">
              <w:rPr>
                <w:rStyle w:val="FootnoteReference"/>
                <w:rFonts w:asciiTheme="majorHAnsi" w:hAnsiTheme="majorHAnsi" w:cstheme="majorHAnsi"/>
                <w:sz w:val="24"/>
                <w:szCs w:val="24"/>
              </w:rPr>
              <w:footnoteReference w:id="33"/>
            </w:r>
          </w:p>
        </w:tc>
      </w:tr>
      <w:tr w:rsidR="005624CD" w:rsidRPr="00EB4A49" w14:paraId="4D025B0B" w14:textId="77777777" w:rsidTr="00D31A3F">
        <w:tc>
          <w:tcPr>
            <w:tcW w:w="2254" w:type="dxa"/>
          </w:tcPr>
          <w:p w14:paraId="3C2D1970" w14:textId="77777777" w:rsidR="005624CD" w:rsidRPr="00EB4A49" w:rsidRDefault="005624CD" w:rsidP="00A36F4C">
            <w:pPr>
              <w:rPr>
                <w:rFonts w:asciiTheme="majorHAnsi" w:hAnsiTheme="majorHAnsi" w:cstheme="majorHAnsi"/>
                <w:sz w:val="24"/>
                <w:szCs w:val="24"/>
              </w:rPr>
            </w:pPr>
          </w:p>
        </w:tc>
        <w:tc>
          <w:tcPr>
            <w:tcW w:w="2254" w:type="dxa"/>
          </w:tcPr>
          <w:p w14:paraId="2935B249" w14:textId="77777777" w:rsidR="005624CD"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No SEN</w:t>
            </w:r>
          </w:p>
        </w:tc>
        <w:tc>
          <w:tcPr>
            <w:tcW w:w="2254" w:type="dxa"/>
          </w:tcPr>
          <w:p w14:paraId="0C0550C5" w14:textId="77777777" w:rsidR="005624CD"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EHCP</w:t>
            </w:r>
          </w:p>
        </w:tc>
        <w:tc>
          <w:tcPr>
            <w:tcW w:w="2254" w:type="dxa"/>
          </w:tcPr>
          <w:p w14:paraId="42F85C86" w14:textId="77777777" w:rsidR="005624CD"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SEN-support</w:t>
            </w:r>
          </w:p>
        </w:tc>
      </w:tr>
      <w:tr w:rsidR="00D31A3F" w:rsidRPr="00EB4A49" w14:paraId="2935427B" w14:textId="77777777" w:rsidTr="00D31A3F">
        <w:tc>
          <w:tcPr>
            <w:tcW w:w="2254" w:type="dxa"/>
          </w:tcPr>
          <w:p w14:paraId="6E6B9115" w14:textId="77777777" w:rsidR="00D31A3F" w:rsidRPr="00EB4A49" w:rsidRDefault="00D31A3F" w:rsidP="00A36F4C">
            <w:pPr>
              <w:rPr>
                <w:rFonts w:asciiTheme="majorHAnsi" w:hAnsiTheme="majorHAnsi" w:cstheme="majorHAnsi"/>
                <w:sz w:val="24"/>
                <w:szCs w:val="24"/>
              </w:rPr>
            </w:pPr>
            <w:r w:rsidRPr="00EB4A49">
              <w:rPr>
                <w:rFonts w:asciiTheme="majorHAnsi" w:hAnsiTheme="majorHAnsi" w:cstheme="majorHAnsi"/>
                <w:sz w:val="24"/>
                <w:szCs w:val="24"/>
              </w:rPr>
              <w:t>York</w:t>
            </w:r>
          </w:p>
        </w:tc>
        <w:tc>
          <w:tcPr>
            <w:tcW w:w="2254" w:type="dxa"/>
          </w:tcPr>
          <w:p w14:paraId="2FA9B589"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54</w:t>
            </w:r>
          </w:p>
        </w:tc>
        <w:tc>
          <w:tcPr>
            <w:tcW w:w="2254" w:type="dxa"/>
          </w:tcPr>
          <w:p w14:paraId="1CA6199F"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15</w:t>
            </w:r>
          </w:p>
        </w:tc>
        <w:tc>
          <w:tcPr>
            <w:tcW w:w="2254" w:type="dxa"/>
          </w:tcPr>
          <w:p w14:paraId="2B319BDD"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30</w:t>
            </w:r>
          </w:p>
        </w:tc>
      </w:tr>
      <w:tr w:rsidR="00D31A3F" w:rsidRPr="00EB4A49" w14:paraId="012C9A54" w14:textId="77777777" w:rsidTr="00D31A3F">
        <w:tc>
          <w:tcPr>
            <w:tcW w:w="2254" w:type="dxa"/>
          </w:tcPr>
          <w:p w14:paraId="7B443050" w14:textId="77777777" w:rsidR="00D31A3F" w:rsidRPr="00EB4A49" w:rsidRDefault="00D31A3F" w:rsidP="00A36F4C">
            <w:pPr>
              <w:rPr>
                <w:rFonts w:asciiTheme="majorHAnsi" w:hAnsiTheme="majorHAnsi" w:cstheme="majorHAnsi"/>
                <w:sz w:val="24"/>
                <w:szCs w:val="24"/>
              </w:rPr>
            </w:pPr>
            <w:r w:rsidRPr="00EB4A49">
              <w:rPr>
                <w:rFonts w:asciiTheme="majorHAnsi" w:hAnsiTheme="majorHAnsi" w:cstheme="majorHAnsi"/>
                <w:sz w:val="24"/>
                <w:szCs w:val="24"/>
              </w:rPr>
              <w:t>CIPFA neighbours</w:t>
            </w:r>
          </w:p>
        </w:tc>
        <w:tc>
          <w:tcPr>
            <w:tcW w:w="2254" w:type="dxa"/>
          </w:tcPr>
          <w:p w14:paraId="01FE5FC8"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51</w:t>
            </w:r>
          </w:p>
        </w:tc>
        <w:tc>
          <w:tcPr>
            <w:tcW w:w="2254" w:type="dxa"/>
          </w:tcPr>
          <w:p w14:paraId="16AD32BB"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15</w:t>
            </w:r>
          </w:p>
        </w:tc>
        <w:tc>
          <w:tcPr>
            <w:tcW w:w="2254" w:type="dxa"/>
          </w:tcPr>
          <w:p w14:paraId="0D7FF6D2"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34</w:t>
            </w:r>
          </w:p>
        </w:tc>
      </w:tr>
      <w:tr w:rsidR="00D31A3F" w:rsidRPr="00EB4A49" w14:paraId="2F7FFFCE" w14:textId="77777777" w:rsidTr="00D31A3F">
        <w:tc>
          <w:tcPr>
            <w:tcW w:w="2254" w:type="dxa"/>
          </w:tcPr>
          <w:p w14:paraId="2729394C" w14:textId="77777777" w:rsidR="00D31A3F" w:rsidRPr="00EB4A49" w:rsidRDefault="00D31A3F" w:rsidP="00A36F4C">
            <w:pPr>
              <w:rPr>
                <w:rFonts w:asciiTheme="majorHAnsi" w:hAnsiTheme="majorHAnsi" w:cstheme="majorHAnsi"/>
                <w:sz w:val="24"/>
                <w:szCs w:val="24"/>
              </w:rPr>
            </w:pPr>
            <w:r w:rsidRPr="00EB4A49">
              <w:rPr>
                <w:rFonts w:asciiTheme="majorHAnsi" w:hAnsiTheme="majorHAnsi" w:cstheme="majorHAnsi"/>
                <w:sz w:val="24"/>
                <w:szCs w:val="24"/>
              </w:rPr>
              <w:t>England</w:t>
            </w:r>
          </w:p>
        </w:tc>
        <w:tc>
          <w:tcPr>
            <w:tcW w:w="2254" w:type="dxa"/>
          </w:tcPr>
          <w:p w14:paraId="7387D599"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50</w:t>
            </w:r>
          </w:p>
        </w:tc>
        <w:tc>
          <w:tcPr>
            <w:tcW w:w="2254" w:type="dxa"/>
          </w:tcPr>
          <w:p w14:paraId="3D1A54BE"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14</w:t>
            </w:r>
          </w:p>
        </w:tc>
        <w:tc>
          <w:tcPr>
            <w:tcW w:w="2254" w:type="dxa"/>
          </w:tcPr>
          <w:p w14:paraId="3631CC86" w14:textId="77777777" w:rsidR="00D31A3F" w:rsidRPr="00EB4A49" w:rsidRDefault="005624CD" w:rsidP="00A36F4C">
            <w:pPr>
              <w:rPr>
                <w:rFonts w:asciiTheme="majorHAnsi" w:hAnsiTheme="majorHAnsi" w:cstheme="majorHAnsi"/>
                <w:sz w:val="24"/>
                <w:szCs w:val="24"/>
              </w:rPr>
            </w:pPr>
            <w:r w:rsidRPr="00EB4A49">
              <w:rPr>
                <w:rFonts w:asciiTheme="majorHAnsi" w:hAnsiTheme="majorHAnsi" w:cstheme="majorHAnsi"/>
                <w:sz w:val="24"/>
                <w:szCs w:val="24"/>
              </w:rPr>
              <w:t>33</w:t>
            </w:r>
          </w:p>
        </w:tc>
      </w:tr>
    </w:tbl>
    <w:p w14:paraId="5C85547B" w14:textId="77777777" w:rsidR="00D31A3F" w:rsidRPr="00EB4A49" w:rsidRDefault="00D31A3F" w:rsidP="00A36F4C">
      <w:pPr>
        <w:rPr>
          <w:rFonts w:asciiTheme="majorHAnsi" w:hAnsiTheme="majorHAnsi" w:cstheme="majorHAnsi"/>
          <w:sz w:val="24"/>
          <w:szCs w:val="24"/>
        </w:rPr>
      </w:pPr>
    </w:p>
    <w:p w14:paraId="0206D9F0" w14:textId="6E043A97" w:rsidR="0099038F" w:rsidRDefault="0099038F" w:rsidP="00177DBD">
      <w:pPr>
        <w:rPr>
          <w:rFonts w:asciiTheme="majorHAnsi" w:hAnsiTheme="majorHAnsi" w:cstheme="majorHAnsi"/>
          <w:sz w:val="24"/>
          <w:szCs w:val="24"/>
        </w:rPr>
      </w:pPr>
      <w:r>
        <w:rPr>
          <w:rFonts w:asciiTheme="majorHAnsi" w:hAnsiTheme="majorHAnsi" w:cstheme="majorHAnsi"/>
          <w:sz w:val="24"/>
          <w:szCs w:val="24"/>
        </w:rPr>
        <w:t>This table shows that York pupils without SEN</w:t>
      </w:r>
      <w:r w:rsidR="00911F35">
        <w:rPr>
          <w:rFonts w:asciiTheme="majorHAnsi" w:hAnsiTheme="majorHAnsi" w:cstheme="majorHAnsi"/>
          <w:sz w:val="24"/>
          <w:szCs w:val="24"/>
        </w:rPr>
        <w:t>D</w:t>
      </w:r>
      <w:r>
        <w:rPr>
          <w:rFonts w:asciiTheme="majorHAnsi" w:hAnsiTheme="majorHAnsi" w:cstheme="majorHAnsi"/>
          <w:sz w:val="24"/>
          <w:szCs w:val="24"/>
        </w:rPr>
        <w:t xml:space="preserve"> are outperforming their peers in other areas. The table also shows that there are big attainment gaps for pupils with and without SEN. York’s EHCP pupil cohort preforms similarly to their peers in other areas, however York’s SEN-support cohort falls behind their peers from other areas. </w:t>
      </w:r>
      <w:r w:rsidR="00382D30">
        <w:rPr>
          <w:rFonts w:asciiTheme="majorHAnsi" w:hAnsiTheme="majorHAnsi" w:cstheme="majorHAnsi"/>
          <w:sz w:val="24"/>
          <w:szCs w:val="24"/>
        </w:rPr>
        <w:t xml:space="preserve">Again, it is important to consider </w:t>
      </w:r>
      <w:r w:rsidR="00382D30">
        <w:rPr>
          <w:rFonts w:asciiTheme="majorHAnsi" w:hAnsiTheme="majorHAnsi" w:cstheme="majorHAnsi"/>
          <w:sz w:val="24"/>
          <w:szCs w:val="24"/>
        </w:rPr>
        <w:lastRenderedPageBreak/>
        <w:t>that there appears to be considerable between school variation in the proportion of children ide</w:t>
      </w:r>
      <w:r w:rsidR="00D70A74">
        <w:rPr>
          <w:rFonts w:asciiTheme="majorHAnsi" w:hAnsiTheme="majorHAnsi" w:cstheme="majorHAnsi"/>
          <w:sz w:val="24"/>
          <w:szCs w:val="24"/>
        </w:rPr>
        <w:t xml:space="preserve">ntified as needing SEN-support, and so SEN-support is not a truly unified group. </w:t>
      </w:r>
    </w:p>
    <w:p w14:paraId="5BE38B33" w14:textId="77777777" w:rsidR="007F0D56" w:rsidRPr="00EB4A49" w:rsidRDefault="007F0D56" w:rsidP="00177DBD">
      <w:pPr>
        <w:rPr>
          <w:rFonts w:asciiTheme="majorHAnsi" w:hAnsiTheme="majorHAnsi" w:cstheme="majorHAnsi"/>
          <w:sz w:val="24"/>
          <w:szCs w:val="24"/>
        </w:rPr>
      </w:pPr>
    </w:p>
    <w:p w14:paraId="43601A84" w14:textId="77777777" w:rsidR="007F0D56" w:rsidRPr="00EB4A49" w:rsidRDefault="007F0D56" w:rsidP="001074AF">
      <w:pPr>
        <w:pStyle w:val="Heading2"/>
        <w:rPr>
          <w:rFonts w:cstheme="majorHAnsi"/>
          <w:sz w:val="24"/>
          <w:szCs w:val="24"/>
        </w:rPr>
      </w:pPr>
      <w:bookmarkStart w:id="25" w:name="_Toc58575085"/>
      <w:r w:rsidRPr="00EB4A49">
        <w:rPr>
          <w:rFonts w:cstheme="majorHAnsi"/>
          <w:sz w:val="24"/>
          <w:szCs w:val="24"/>
        </w:rPr>
        <w:t>Progress 8</w:t>
      </w:r>
      <w:bookmarkEnd w:id="25"/>
      <w:r w:rsidRPr="00EB4A49">
        <w:rPr>
          <w:rFonts w:cstheme="majorHAnsi"/>
          <w:sz w:val="24"/>
          <w:szCs w:val="24"/>
        </w:rPr>
        <w:t xml:space="preserve"> </w:t>
      </w:r>
    </w:p>
    <w:p w14:paraId="58E61584"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The ‘progress 8’ measure looks at the exam results of pupils against other pupils who had a similar level of academic ability when they moved into secondary school, i.e. progress from the same starting point. Arguably, this measure is more meaningful for pupils with SEND as it measures progress not attainment. A score of ‘0’ would mean the pupil made an average level of progress for his/her comparison peer group</w:t>
      </w:r>
      <w:r w:rsidR="00D95EE8">
        <w:rPr>
          <w:rFonts w:asciiTheme="majorHAnsi" w:hAnsiTheme="majorHAnsi" w:cstheme="majorHAnsi"/>
          <w:sz w:val="24"/>
          <w:szCs w:val="24"/>
        </w:rPr>
        <w:t xml:space="preserve"> during secondary school</w:t>
      </w:r>
      <w:r w:rsidRPr="00EB4A49">
        <w:rPr>
          <w:rFonts w:asciiTheme="majorHAnsi" w:hAnsiTheme="majorHAnsi" w:cstheme="majorHAnsi"/>
          <w:sz w:val="24"/>
          <w:szCs w:val="24"/>
        </w:rPr>
        <w:t>, a score of ‘</w:t>
      </w:r>
      <w:r w:rsidR="005F5D87" w:rsidRPr="00EB4A49">
        <w:rPr>
          <w:rFonts w:asciiTheme="majorHAnsi" w:hAnsiTheme="majorHAnsi" w:cstheme="majorHAnsi"/>
          <w:sz w:val="24"/>
          <w:szCs w:val="24"/>
        </w:rPr>
        <w:t>-</w:t>
      </w:r>
      <w:r w:rsidRPr="00EB4A49">
        <w:rPr>
          <w:rFonts w:asciiTheme="majorHAnsi" w:hAnsiTheme="majorHAnsi" w:cstheme="majorHAnsi"/>
          <w:sz w:val="24"/>
          <w:szCs w:val="24"/>
        </w:rPr>
        <w:t>0.5’ wo</w:t>
      </w:r>
      <w:r w:rsidR="005F5D87" w:rsidRPr="00EB4A49">
        <w:rPr>
          <w:rFonts w:asciiTheme="majorHAnsi" w:hAnsiTheme="majorHAnsi" w:cstheme="majorHAnsi"/>
          <w:sz w:val="24"/>
          <w:szCs w:val="24"/>
        </w:rPr>
        <w:t xml:space="preserve">uld mean the pupil has made half a grade point less progress than other pupils who started at the same point at 11 years old. </w:t>
      </w:r>
      <w:r w:rsidRPr="00EB4A49">
        <w:rPr>
          <w:rFonts w:asciiTheme="majorHAnsi" w:hAnsiTheme="majorHAnsi" w:cstheme="majorHAnsi"/>
          <w:sz w:val="24"/>
          <w:szCs w:val="24"/>
        </w:rPr>
        <w:t xml:space="preserve"> </w:t>
      </w:r>
    </w:p>
    <w:tbl>
      <w:tblPr>
        <w:tblStyle w:val="TableGrid"/>
        <w:tblW w:w="0" w:type="auto"/>
        <w:tblLook w:val="04A0" w:firstRow="1" w:lastRow="0" w:firstColumn="1" w:lastColumn="0" w:noHBand="0" w:noVBand="1"/>
      </w:tblPr>
      <w:tblGrid>
        <w:gridCol w:w="2254"/>
        <w:gridCol w:w="2254"/>
        <w:gridCol w:w="2254"/>
        <w:gridCol w:w="2254"/>
      </w:tblGrid>
      <w:tr w:rsidR="005F5D87" w:rsidRPr="00EB4A49" w14:paraId="22DF79BF" w14:textId="77777777" w:rsidTr="007C2B95">
        <w:tc>
          <w:tcPr>
            <w:tcW w:w="9016" w:type="dxa"/>
            <w:gridSpan w:val="4"/>
          </w:tcPr>
          <w:p w14:paraId="0DD44172" w14:textId="77777777" w:rsidR="005F5D87" w:rsidRPr="00EB4A49" w:rsidRDefault="0056031C" w:rsidP="00177DBD">
            <w:pPr>
              <w:rPr>
                <w:rFonts w:asciiTheme="majorHAnsi" w:hAnsiTheme="majorHAnsi" w:cstheme="majorHAnsi"/>
                <w:sz w:val="24"/>
                <w:szCs w:val="24"/>
              </w:rPr>
            </w:pPr>
            <w:r>
              <w:rPr>
                <w:rFonts w:asciiTheme="majorHAnsi" w:hAnsiTheme="majorHAnsi" w:cstheme="majorHAnsi"/>
                <w:sz w:val="24"/>
                <w:szCs w:val="24"/>
              </w:rPr>
              <w:t>Average Progress</w:t>
            </w:r>
            <w:r w:rsidR="005F5D87" w:rsidRPr="00EB4A49">
              <w:rPr>
                <w:rFonts w:asciiTheme="majorHAnsi" w:hAnsiTheme="majorHAnsi" w:cstheme="majorHAnsi"/>
                <w:sz w:val="24"/>
                <w:szCs w:val="24"/>
              </w:rPr>
              <w:t xml:space="preserve"> 8 scores</w:t>
            </w:r>
          </w:p>
        </w:tc>
      </w:tr>
      <w:tr w:rsidR="007F0D56" w:rsidRPr="00EB4A49" w14:paraId="2860CF13" w14:textId="77777777" w:rsidTr="007F0D56">
        <w:tc>
          <w:tcPr>
            <w:tcW w:w="2254" w:type="dxa"/>
          </w:tcPr>
          <w:p w14:paraId="724E6B3A" w14:textId="77777777" w:rsidR="007F0D56" w:rsidRPr="00EB4A49" w:rsidRDefault="007F0D56" w:rsidP="00177DBD">
            <w:pPr>
              <w:rPr>
                <w:rFonts w:asciiTheme="majorHAnsi" w:hAnsiTheme="majorHAnsi" w:cstheme="majorHAnsi"/>
                <w:sz w:val="24"/>
                <w:szCs w:val="24"/>
              </w:rPr>
            </w:pPr>
          </w:p>
        </w:tc>
        <w:tc>
          <w:tcPr>
            <w:tcW w:w="2254" w:type="dxa"/>
          </w:tcPr>
          <w:p w14:paraId="45747DEA"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No SEND</w:t>
            </w:r>
          </w:p>
        </w:tc>
        <w:tc>
          <w:tcPr>
            <w:tcW w:w="2254" w:type="dxa"/>
          </w:tcPr>
          <w:p w14:paraId="210F5EF0"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EHCP</w:t>
            </w:r>
          </w:p>
        </w:tc>
        <w:tc>
          <w:tcPr>
            <w:tcW w:w="2254" w:type="dxa"/>
          </w:tcPr>
          <w:p w14:paraId="65B9EA5D"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SEN-support</w:t>
            </w:r>
          </w:p>
        </w:tc>
      </w:tr>
      <w:tr w:rsidR="007F0D56" w:rsidRPr="00EB4A49" w14:paraId="5DA1FDD3" w14:textId="77777777" w:rsidTr="007F0D56">
        <w:tc>
          <w:tcPr>
            <w:tcW w:w="2254" w:type="dxa"/>
          </w:tcPr>
          <w:p w14:paraId="24F4C4DA"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 xml:space="preserve">York </w:t>
            </w:r>
          </w:p>
        </w:tc>
        <w:tc>
          <w:tcPr>
            <w:tcW w:w="2254" w:type="dxa"/>
          </w:tcPr>
          <w:p w14:paraId="5D309478"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w:t>
            </w:r>
            <w:r w:rsidR="005F5D87" w:rsidRPr="00EB4A49">
              <w:rPr>
                <w:rFonts w:asciiTheme="majorHAnsi" w:hAnsiTheme="majorHAnsi" w:cstheme="majorHAnsi"/>
                <w:sz w:val="24"/>
                <w:szCs w:val="24"/>
              </w:rPr>
              <w:t xml:space="preserve"> </w:t>
            </w:r>
            <w:r w:rsidRPr="00EB4A49">
              <w:rPr>
                <w:rFonts w:asciiTheme="majorHAnsi" w:hAnsiTheme="majorHAnsi" w:cstheme="majorHAnsi"/>
                <w:sz w:val="24"/>
                <w:szCs w:val="24"/>
              </w:rPr>
              <w:t>0.28</w:t>
            </w:r>
          </w:p>
        </w:tc>
        <w:tc>
          <w:tcPr>
            <w:tcW w:w="2254" w:type="dxa"/>
          </w:tcPr>
          <w:p w14:paraId="2BBC9F0E"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w:t>
            </w:r>
            <w:r w:rsidR="005F5D87" w:rsidRPr="00EB4A49">
              <w:rPr>
                <w:rFonts w:asciiTheme="majorHAnsi" w:hAnsiTheme="majorHAnsi" w:cstheme="majorHAnsi"/>
                <w:sz w:val="24"/>
                <w:szCs w:val="24"/>
              </w:rPr>
              <w:t xml:space="preserve"> </w:t>
            </w:r>
            <w:r w:rsidRPr="00EB4A49">
              <w:rPr>
                <w:rFonts w:asciiTheme="majorHAnsi" w:hAnsiTheme="majorHAnsi" w:cstheme="majorHAnsi"/>
                <w:sz w:val="24"/>
                <w:szCs w:val="24"/>
              </w:rPr>
              <w:t>0.80</w:t>
            </w:r>
            <w:r w:rsidR="001C7FD9" w:rsidRPr="00EB4A49">
              <w:rPr>
                <w:rFonts w:asciiTheme="majorHAnsi" w:hAnsiTheme="majorHAnsi" w:cstheme="majorHAnsi"/>
                <w:sz w:val="24"/>
                <w:szCs w:val="24"/>
              </w:rPr>
              <w:t xml:space="preserve"> </w:t>
            </w:r>
          </w:p>
        </w:tc>
        <w:tc>
          <w:tcPr>
            <w:tcW w:w="2254" w:type="dxa"/>
          </w:tcPr>
          <w:p w14:paraId="7E2E9F4B"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- 0.16</w:t>
            </w:r>
          </w:p>
        </w:tc>
      </w:tr>
      <w:tr w:rsidR="007F0D56" w:rsidRPr="00EB4A49" w14:paraId="1FDC8D9E" w14:textId="77777777" w:rsidTr="007F0D56">
        <w:tc>
          <w:tcPr>
            <w:tcW w:w="2254" w:type="dxa"/>
          </w:tcPr>
          <w:p w14:paraId="2A9371FA"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CIPFA neighbours</w:t>
            </w:r>
          </w:p>
        </w:tc>
        <w:tc>
          <w:tcPr>
            <w:tcW w:w="2254" w:type="dxa"/>
          </w:tcPr>
          <w:p w14:paraId="758853FE"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w:t>
            </w:r>
            <w:r w:rsidR="005F5D87" w:rsidRPr="00EB4A49">
              <w:rPr>
                <w:rFonts w:asciiTheme="majorHAnsi" w:hAnsiTheme="majorHAnsi" w:cstheme="majorHAnsi"/>
                <w:sz w:val="24"/>
                <w:szCs w:val="24"/>
              </w:rPr>
              <w:t xml:space="preserve"> </w:t>
            </w:r>
            <w:r w:rsidRPr="00EB4A49">
              <w:rPr>
                <w:rFonts w:asciiTheme="majorHAnsi" w:hAnsiTheme="majorHAnsi" w:cstheme="majorHAnsi"/>
                <w:sz w:val="24"/>
                <w:szCs w:val="24"/>
              </w:rPr>
              <w:t>0.04</w:t>
            </w:r>
          </w:p>
        </w:tc>
        <w:tc>
          <w:tcPr>
            <w:tcW w:w="2254" w:type="dxa"/>
          </w:tcPr>
          <w:p w14:paraId="0A0B1EC1"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w:t>
            </w:r>
            <w:r w:rsidR="005F5D87" w:rsidRPr="00EB4A49">
              <w:rPr>
                <w:rFonts w:asciiTheme="majorHAnsi" w:hAnsiTheme="majorHAnsi" w:cstheme="majorHAnsi"/>
                <w:sz w:val="24"/>
                <w:szCs w:val="24"/>
              </w:rPr>
              <w:t xml:space="preserve"> </w:t>
            </w:r>
            <w:r w:rsidRPr="00EB4A49">
              <w:rPr>
                <w:rFonts w:asciiTheme="majorHAnsi" w:hAnsiTheme="majorHAnsi" w:cstheme="majorHAnsi"/>
                <w:sz w:val="24"/>
                <w:szCs w:val="24"/>
              </w:rPr>
              <w:t>1.16</w:t>
            </w:r>
          </w:p>
        </w:tc>
        <w:tc>
          <w:tcPr>
            <w:tcW w:w="2254" w:type="dxa"/>
          </w:tcPr>
          <w:p w14:paraId="67A77FBE"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- 0.</w:t>
            </w:r>
            <w:r w:rsidR="005F5D87" w:rsidRPr="00EB4A49">
              <w:rPr>
                <w:rFonts w:asciiTheme="majorHAnsi" w:hAnsiTheme="majorHAnsi" w:cstheme="majorHAnsi"/>
                <w:sz w:val="24"/>
                <w:szCs w:val="24"/>
              </w:rPr>
              <w:t>39</w:t>
            </w:r>
          </w:p>
        </w:tc>
      </w:tr>
      <w:tr w:rsidR="007F0D56" w:rsidRPr="00EB4A49" w14:paraId="7F69EB98" w14:textId="77777777" w:rsidTr="007F0D56">
        <w:tc>
          <w:tcPr>
            <w:tcW w:w="2254" w:type="dxa"/>
          </w:tcPr>
          <w:p w14:paraId="6B31A7F5"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 xml:space="preserve">England </w:t>
            </w:r>
          </w:p>
        </w:tc>
        <w:tc>
          <w:tcPr>
            <w:tcW w:w="2254" w:type="dxa"/>
          </w:tcPr>
          <w:p w14:paraId="6B055FBB"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w:t>
            </w:r>
            <w:r w:rsidR="005F5D87" w:rsidRPr="00EB4A49">
              <w:rPr>
                <w:rFonts w:asciiTheme="majorHAnsi" w:hAnsiTheme="majorHAnsi" w:cstheme="majorHAnsi"/>
                <w:sz w:val="24"/>
                <w:szCs w:val="24"/>
              </w:rPr>
              <w:t xml:space="preserve"> </w:t>
            </w:r>
            <w:r w:rsidRPr="00EB4A49">
              <w:rPr>
                <w:rFonts w:asciiTheme="majorHAnsi" w:hAnsiTheme="majorHAnsi" w:cstheme="majorHAnsi"/>
                <w:sz w:val="24"/>
                <w:szCs w:val="24"/>
              </w:rPr>
              <w:t>0.3</w:t>
            </w:r>
          </w:p>
        </w:tc>
        <w:tc>
          <w:tcPr>
            <w:tcW w:w="2254" w:type="dxa"/>
          </w:tcPr>
          <w:p w14:paraId="48368158"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w:t>
            </w:r>
            <w:r w:rsidR="005F5D87" w:rsidRPr="00EB4A49">
              <w:rPr>
                <w:rFonts w:asciiTheme="majorHAnsi" w:hAnsiTheme="majorHAnsi" w:cstheme="majorHAnsi"/>
                <w:sz w:val="24"/>
                <w:szCs w:val="24"/>
              </w:rPr>
              <w:t xml:space="preserve"> </w:t>
            </w:r>
            <w:r w:rsidRPr="00EB4A49">
              <w:rPr>
                <w:rFonts w:asciiTheme="majorHAnsi" w:hAnsiTheme="majorHAnsi" w:cstheme="majorHAnsi"/>
                <w:sz w:val="24"/>
                <w:szCs w:val="24"/>
              </w:rPr>
              <w:t>1.18</w:t>
            </w:r>
          </w:p>
        </w:tc>
        <w:tc>
          <w:tcPr>
            <w:tcW w:w="2254" w:type="dxa"/>
          </w:tcPr>
          <w:p w14:paraId="6E0CE2E9" w14:textId="77777777" w:rsidR="007F0D56" w:rsidRPr="00EB4A49" w:rsidRDefault="007F0D56" w:rsidP="00177DBD">
            <w:pPr>
              <w:rPr>
                <w:rFonts w:asciiTheme="majorHAnsi" w:hAnsiTheme="majorHAnsi" w:cstheme="majorHAnsi"/>
                <w:sz w:val="24"/>
                <w:szCs w:val="24"/>
              </w:rPr>
            </w:pPr>
            <w:r w:rsidRPr="00EB4A49">
              <w:rPr>
                <w:rFonts w:asciiTheme="majorHAnsi" w:hAnsiTheme="majorHAnsi" w:cstheme="majorHAnsi"/>
                <w:sz w:val="24"/>
                <w:szCs w:val="24"/>
              </w:rPr>
              <w:t>- 0.47</w:t>
            </w:r>
          </w:p>
        </w:tc>
      </w:tr>
    </w:tbl>
    <w:p w14:paraId="1D80163D" w14:textId="77777777" w:rsidR="007F0D56" w:rsidRPr="00EB4A49" w:rsidRDefault="005F5D87" w:rsidP="00177DBD">
      <w:pPr>
        <w:rPr>
          <w:rFonts w:asciiTheme="majorHAnsi" w:hAnsiTheme="majorHAnsi" w:cstheme="majorHAnsi"/>
          <w:b/>
          <w:sz w:val="24"/>
          <w:szCs w:val="24"/>
        </w:rPr>
      </w:pPr>
      <w:r w:rsidRPr="00EB4A49">
        <w:rPr>
          <w:rFonts w:asciiTheme="majorHAnsi" w:hAnsiTheme="majorHAnsi" w:cstheme="majorHAnsi"/>
          <w:b/>
          <w:sz w:val="24"/>
          <w:szCs w:val="24"/>
        </w:rPr>
        <w:t xml:space="preserve"> </w:t>
      </w:r>
    </w:p>
    <w:p w14:paraId="56FDFB28" w14:textId="52D322EA" w:rsidR="001C7FD9" w:rsidRDefault="005F5D87" w:rsidP="00177DBD">
      <w:pPr>
        <w:rPr>
          <w:rFonts w:asciiTheme="majorHAnsi" w:hAnsiTheme="majorHAnsi" w:cstheme="majorHAnsi"/>
          <w:sz w:val="24"/>
          <w:szCs w:val="24"/>
        </w:rPr>
      </w:pPr>
      <w:r w:rsidRPr="00EB4A49">
        <w:rPr>
          <w:rFonts w:asciiTheme="majorHAnsi" w:hAnsiTheme="majorHAnsi" w:cstheme="majorHAnsi"/>
          <w:sz w:val="24"/>
          <w:szCs w:val="24"/>
        </w:rPr>
        <w:t>It is notable that across the whole country, pupils with special educational needs</w:t>
      </w:r>
      <w:r w:rsidR="00911F35">
        <w:rPr>
          <w:rFonts w:asciiTheme="majorHAnsi" w:hAnsiTheme="majorHAnsi" w:cstheme="majorHAnsi"/>
          <w:sz w:val="24"/>
          <w:szCs w:val="24"/>
        </w:rPr>
        <w:t xml:space="preserve"> and disabilities</w:t>
      </w:r>
      <w:r w:rsidRPr="00EB4A49">
        <w:rPr>
          <w:rFonts w:asciiTheme="majorHAnsi" w:hAnsiTheme="majorHAnsi" w:cstheme="majorHAnsi"/>
          <w:sz w:val="24"/>
          <w:szCs w:val="24"/>
        </w:rPr>
        <w:t xml:space="preserve"> make less progress than other pupils who displayed similar academic ability at 11 years old. </w:t>
      </w:r>
      <w:r w:rsidR="001C7FD9" w:rsidRPr="00EB4A49">
        <w:rPr>
          <w:rFonts w:asciiTheme="majorHAnsi" w:hAnsiTheme="majorHAnsi" w:cstheme="majorHAnsi"/>
          <w:sz w:val="24"/>
          <w:szCs w:val="24"/>
        </w:rPr>
        <w:t>There is a wider national discussion about the academic progress gap for these pupils. For York, pupils with b</w:t>
      </w:r>
      <w:r w:rsidR="000A7ACA">
        <w:rPr>
          <w:rFonts w:asciiTheme="majorHAnsi" w:hAnsiTheme="majorHAnsi" w:cstheme="majorHAnsi"/>
          <w:sz w:val="24"/>
          <w:szCs w:val="24"/>
        </w:rPr>
        <w:t>oth an EHCP and S</w:t>
      </w:r>
      <w:r w:rsidR="00D70A74">
        <w:rPr>
          <w:rFonts w:asciiTheme="majorHAnsi" w:hAnsiTheme="majorHAnsi" w:cstheme="majorHAnsi"/>
          <w:sz w:val="24"/>
          <w:szCs w:val="24"/>
        </w:rPr>
        <w:t>EN-support fall less far behind</w:t>
      </w:r>
      <w:r w:rsidR="001C7FD9" w:rsidRPr="00EB4A49">
        <w:rPr>
          <w:rFonts w:asciiTheme="majorHAnsi" w:hAnsiTheme="majorHAnsi" w:cstheme="majorHAnsi"/>
          <w:sz w:val="24"/>
          <w:szCs w:val="24"/>
        </w:rPr>
        <w:t xml:space="preserve"> than other pupils with special educational needs</w:t>
      </w:r>
      <w:r w:rsidR="00911F35">
        <w:rPr>
          <w:rFonts w:asciiTheme="majorHAnsi" w:hAnsiTheme="majorHAnsi" w:cstheme="majorHAnsi"/>
          <w:sz w:val="24"/>
          <w:szCs w:val="24"/>
        </w:rPr>
        <w:t xml:space="preserve"> and disabilities</w:t>
      </w:r>
      <w:r w:rsidR="001C7FD9" w:rsidRPr="00EB4A49">
        <w:rPr>
          <w:rFonts w:asciiTheme="majorHAnsi" w:hAnsiTheme="majorHAnsi" w:cstheme="majorHAnsi"/>
          <w:sz w:val="24"/>
          <w:szCs w:val="24"/>
        </w:rPr>
        <w:t xml:space="preserve"> in other parts of the country, however the SEN</w:t>
      </w:r>
      <w:r w:rsidR="00911F35">
        <w:rPr>
          <w:rFonts w:asciiTheme="majorHAnsi" w:hAnsiTheme="majorHAnsi" w:cstheme="majorHAnsi"/>
          <w:sz w:val="24"/>
          <w:szCs w:val="24"/>
        </w:rPr>
        <w:t>D</w:t>
      </w:r>
      <w:r w:rsidR="001C7FD9" w:rsidRPr="00EB4A49">
        <w:rPr>
          <w:rFonts w:asciiTheme="majorHAnsi" w:hAnsiTheme="majorHAnsi" w:cstheme="majorHAnsi"/>
          <w:sz w:val="24"/>
          <w:szCs w:val="24"/>
        </w:rPr>
        <w:t xml:space="preserve"> progress gap is still very clear and the academic outcomes for pupils with SEND in York are not better than the national average. </w:t>
      </w:r>
    </w:p>
    <w:p w14:paraId="689919CD" w14:textId="77777777" w:rsidR="00151424" w:rsidRPr="00EB4A49" w:rsidRDefault="00151424" w:rsidP="00177DBD">
      <w:pPr>
        <w:rPr>
          <w:rFonts w:asciiTheme="majorHAnsi" w:hAnsiTheme="majorHAnsi" w:cstheme="majorHAnsi"/>
          <w:sz w:val="24"/>
          <w:szCs w:val="24"/>
        </w:rPr>
      </w:pPr>
    </w:p>
    <w:p w14:paraId="547FB95E" w14:textId="77777777" w:rsidR="005F5D87" w:rsidRPr="00EB4A49" w:rsidRDefault="00B430AE" w:rsidP="001074AF">
      <w:pPr>
        <w:pStyle w:val="Heading2"/>
        <w:rPr>
          <w:rFonts w:cstheme="majorHAnsi"/>
          <w:sz w:val="24"/>
          <w:szCs w:val="24"/>
        </w:rPr>
      </w:pPr>
      <w:bookmarkStart w:id="26" w:name="_Toc58575086"/>
      <w:r w:rsidRPr="00EB4A49">
        <w:rPr>
          <w:rFonts w:cstheme="majorHAnsi"/>
          <w:sz w:val="24"/>
          <w:szCs w:val="24"/>
        </w:rPr>
        <w:t>Absences</w:t>
      </w:r>
      <w:bookmarkEnd w:id="26"/>
    </w:p>
    <w:p w14:paraId="42F73A91" w14:textId="115BD18A" w:rsidR="00B430AE"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Missing sessions from school is most commonly for sickness or illness, but can be for other reasons, such as medical appointments or religious observances.</w:t>
      </w:r>
      <w:r w:rsidR="00441079" w:rsidRPr="00441079">
        <w:rPr>
          <w:rFonts w:asciiTheme="majorHAnsi" w:hAnsiTheme="majorHAnsi" w:cstheme="majorHAnsi"/>
          <w:sz w:val="24"/>
          <w:szCs w:val="24"/>
        </w:rPr>
        <w:t xml:space="preserve"> </w:t>
      </w:r>
      <w:r w:rsidR="00441079" w:rsidRPr="00EB4A49">
        <w:rPr>
          <w:rFonts w:asciiTheme="majorHAnsi" w:hAnsiTheme="majorHAnsi" w:cstheme="majorHAnsi"/>
          <w:sz w:val="24"/>
          <w:szCs w:val="24"/>
        </w:rPr>
        <w:t xml:space="preserve">Overall, York has a slightly lower absenteeism and persistent absenteeism rate to the England average. This is also true for pupils with an EHCP plan in York, although pupils with an EHCP plan take, on average, twice as </w:t>
      </w:r>
      <w:r w:rsidR="00441079">
        <w:rPr>
          <w:rFonts w:asciiTheme="majorHAnsi" w:hAnsiTheme="majorHAnsi" w:cstheme="majorHAnsi"/>
          <w:sz w:val="24"/>
          <w:szCs w:val="24"/>
        </w:rPr>
        <w:t xml:space="preserve">much time off across the year. By contrast, </w:t>
      </w:r>
      <w:r w:rsidR="00441079" w:rsidRPr="00EB4A49">
        <w:rPr>
          <w:rFonts w:asciiTheme="majorHAnsi" w:hAnsiTheme="majorHAnsi" w:cstheme="majorHAnsi"/>
          <w:sz w:val="24"/>
          <w:szCs w:val="24"/>
        </w:rPr>
        <w:t>for pupils with an SEN-support plan, pupils in York are slightly more likely to take time off, and slight more likely to be persistently absent than then the England average</w:t>
      </w:r>
      <w:r w:rsidR="00441079">
        <w:rPr>
          <w:rFonts w:asciiTheme="majorHAnsi" w:hAnsiTheme="majorHAnsi" w:cstheme="majorHAnsi"/>
          <w:sz w:val="24"/>
          <w:szCs w:val="24"/>
        </w:rPr>
        <w:t>.</w:t>
      </w:r>
    </w:p>
    <w:tbl>
      <w:tblPr>
        <w:tblStyle w:val="TableGrid"/>
        <w:tblW w:w="0" w:type="auto"/>
        <w:tblLook w:val="04A0" w:firstRow="1" w:lastRow="0" w:firstColumn="1" w:lastColumn="0" w:noHBand="0" w:noVBand="1"/>
      </w:tblPr>
      <w:tblGrid>
        <w:gridCol w:w="3005"/>
        <w:gridCol w:w="3005"/>
        <w:gridCol w:w="3006"/>
      </w:tblGrid>
      <w:tr w:rsidR="00E26FFB" w:rsidRPr="00EB4A49" w14:paraId="79298107" w14:textId="77777777" w:rsidTr="00DF0B42">
        <w:tc>
          <w:tcPr>
            <w:tcW w:w="9016" w:type="dxa"/>
            <w:gridSpan w:val="3"/>
          </w:tcPr>
          <w:p w14:paraId="218EAA57"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Average % of sessions missed in the 18/19 school year</w:t>
            </w:r>
            <w:r w:rsidR="001074AF" w:rsidRPr="00EB4A49">
              <w:rPr>
                <w:rStyle w:val="FootnoteReference"/>
                <w:rFonts w:asciiTheme="majorHAnsi" w:hAnsiTheme="majorHAnsi" w:cstheme="majorHAnsi"/>
                <w:sz w:val="24"/>
                <w:szCs w:val="24"/>
              </w:rPr>
              <w:footnoteReference w:id="34"/>
            </w:r>
          </w:p>
        </w:tc>
      </w:tr>
      <w:tr w:rsidR="00E26FFB" w:rsidRPr="00EB4A49" w14:paraId="4ECC6170" w14:textId="77777777" w:rsidTr="00E26FFB">
        <w:tc>
          <w:tcPr>
            <w:tcW w:w="3005" w:type="dxa"/>
          </w:tcPr>
          <w:p w14:paraId="4847D6F0" w14:textId="77777777" w:rsidR="00E26FFB" w:rsidRPr="00EB4A49" w:rsidRDefault="00E26FFB" w:rsidP="00177DBD">
            <w:pPr>
              <w:rPr>
                <w:rFonts w:asciiTheme="majorHAnsi" w:hAnsiTheme="majorHAnsi" w:cstheme="majorHAnsi"/>
                <w:sz w:val="24"/>
                <w:szCs w:val="24"/>
              </w:rPr>
            </w:pPr>
          </w:p>
        </w:tc>
        <w:tc>
          <w:tcPr>
            <w:tcW w:w="3005" w:type="dxa"/>
          </w:tcPr>
          <w:p w14:paraId="070D9686"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York</w:t>
            </w:r>
          </w:p>
        </w:tc>
        <w:tc>
          <w:tcPr>
            <w:tcW w:w="3006" w:type="dxa"/>
          </w:tcPr>
          <w:p w14:paraId="2F544449"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England</w:t>
            </w:r>
          </w:p>
        </w:tc>
      </w:tr>
      <w:tr w:rsidR="00E26FFB" w:rsidRPr="00EB4A49" w14:paraId="5719BF86" w14:textId="77777777" w:rsidTr="00E26FFB">
        <w:tc>
          <w:tcPr>
            <w:tcW w:w="3005" w:type="dxa"/>
          </w:tcPr>
          <w:p w14:paraId="11C2D304"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 xml:space="preserve">EHCP pupils </w:t>
            </w:r>
          </w:p>
        </w:tc>
        <w:tc>
          <w:tcPr>
            <w:tcW w:w="3005" w:type="dxa"/>
          </w:tcPr>
          <w:p w14:paraId="7A26054F"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8.3%</w:t>
            </w:r>
          </w:p>
        </w:tc>
        <w:tc>
          <w:tcPr>
            <w:tcW w:w="3006" w:type="dxa"/>
          </w:tcPr>
          <w:p w14:paraId="1FA6A522"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8.5%</w:t>
            </w:r>
          </w:p>
        </w:tc>
      </w:tr>
      <w:tr w:rsidR="00E26FFB" w:rsidRPr="00EB4A49" w14:paraId="6A6F0D0F" w14:textId="77777777" w:rsidTr="00E26FFB">
        <w:tc>
          <w:tcPr>
            <w:tcW w:w="3005" w:type="dxa"/>
          </w:tcPr>
          <w:p w14:paraId="11D55E09"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 xml:space="preserve">SEN-support pupils </w:t>
            </w:r>
          </w:p>
        </w:tc>
        <w:tc>
          <w:tcPr>
            <w:tcW w:w="3005" w:type="dxa"/>
          </w:tcPr>
          <w:p w14:paraId="41853764"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6.4%</w:t>
            </w:r>
          </w:p>
        </w:tc>
        <w:tc>
          <w:tcPr>
            <w:tcW w:w="3006" w:type="dxa"/>
          </w:tcPr>
          <w:p w14:paraId="2EAAD30B"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6.1%</w:t>
            </w:r>
          </w:p>
        </w:tc>
      </w:tr>
      <w:tr w:rsidR="00E26FFB" w:rsidRPr="00EB4A49" w14:paraId="2B51B67A" w14:textId="77777777" w:rsidTr="00E26FFB">
        <w:tc>
          <w:tcPr>
            <w:tcW w:w="3005" w:type="dxa"/>
          </w:tcPr>
          <w:p w14:paraId="4154DDE7"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 xml:space="preserve">All pupils </w:t>
            </w:r>
          </w:p>
        </w:tc>
        <w:tc>
          <w:tcPr>
            <w:tcW w:w="3005" w:type="dxa"/>
          </w:tcPr>
          <w:p w14:paraId="6FD1BE82"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4.2%</w:t>
            </w:r>
          </w:p>
        </w:tc>
        <w:tc>
          <w:tcPr>
            <w:tcW w:w="3006" w:type="dxa"/>
          </w:tcPr>
          <w:p w14:paraId="5C866807"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4.4%</w:t>
            </w:r>
          </w:p>
        </w:tc>
      </w:tr>
      <w:tr w:rsidR="00E26FFB" w:rsidRPr="00EB4A49" w14:paraId="31877E03" w14:textId="77777777" w:rsidTr="00DF0B42">
        <w:tc>
          <w:tcPr>
            <w:tcW w:w="9016" w:type="dxa"/>
            <w:gridSpan w:val="3"/>
          </w:tcPr>
          <w:p w14:paraId="78D2294E" w14:textId="77777777" w:rsidR="00E26FFB" w:rsidRPr="00EB4A49" w:rsidRDefault="00E26FFB" w:rsidP="00177DBD">
            <w:pPr>
              <w:rPr>
                <w:rFonts w:asciiTheme="majorHAnsi" w:hAnsiTheme="majorHAnsi" w:cstheme="majorHAnsi"/>
                <w:sz w:val="24"/>
                <w:szCs w:val="24"/>
              </w:rPr>
            </w:pPr>
          </w:p>
        </w:tc>
      </w:tr>
      <w:tr w:rsidR="00E26FFB" w:rsidRPr="00EB4A49" w14:paraId="544AD66D" w14:textId="77777777" w:rsidTr="00DF0B42">
        <w:tc>
          <w:tcPr>
            <w:tcW w:w="9016" w:type="dxa"/>
            <w:gridSpan w:val="3"/>
          </w:tcPr>
          <w:p w14:paraId="35FA097D"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 of pupils who were persistently absent in 18/19 (missing more than 10% of sessions</w:t>
            </w:r>
            <w:r w:rsidR="001074AF" w:rsidRPr="00EB4A49">
              <w:rPr>
                <w:rStyle w:val="FootnoteReference"/>
                <w:rFonts w:asciiTheme="majorHAnsi" w:hAnsiTheme="majorHAnsi" w:cstheme="majorHAnsi"/>
                <w:sz w:val="24"/>
                <w:szCs w:val="24"/>
              </w:rPr>
              <w:footnoteReference w:id="35"/>
            </w:r>
          </w:p>
        </w:tc>
      </w:tr>
      <w:tr w:rsidR="00E26FFB" w:rsidRPr="00EB4A49" w14:paraId="25355522" w14:textId="77777777" w:rsidTr="00E26FFB">
        <w:tc>
          <w:tcPr>
            <w:tcW w:w="3005" w:type="dxa"/>
          </w:tcPr>
          <w:p w14:paraId="56110184" w14:textId="77777777" w:rsidR="00E26FFB" w:rsidRPr="00EB4A49" w:rsidRDefault="00E26FFB" w:rsidP="00177DBD">
            <w:pPr>
              <w:rPr>
                <w:rFonts w:asciiTheme="majorHAnsi" w:hAnsiTheme="majorHAnsi" w:cstheme="majorHAnsi"/>
                <w:sz w:val="24"/>
                <w:szCs w:val="24"/>
              </w:rPr>
            </w:pPr>
          </w:p>
        </w:tc>
        <w:tc>
          <w:tcPr>
            <w:tcW w:w="3005" w:type="dxa"/>
          </w:tcPr>
          <w:p w14:paraId="657410B3"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York</w:t>
            </w:r>
          </w:p>
        </w:tc>
        <w:tc>
          <w:tcPr>
            <w:tcW w:w="3006" w:type="dxa"/>
          </w:tcPr>
          <w:p w14:paraId="30B18483"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England</w:t>
            </w:r>
          </w:p>
        </w:tc>
      </w:tr>
      <w:tr w:rsidR="00E26FFB" w:rsidRPr="00EB4A49" w14:paraId="5F023EFC" w14:textId="77777777" w:rsidTr="00E26FFB">
        <w:tc>
          <w:tcPr>
            <w:tcW w:w="3005" w:type="dxa"/>
          </w:tcPr>
          <w:p w14:paraId="0A0FAE08"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EHCP pupils</w:t>
            </w:r>
          </w:p>
        </w:tc>
        <w:tc>
          <w:tcPr>
            <w:tcW w:w="3005" w:type="dxa"/>
          </w:tcPr>
          <w:p w14:paraId="1694109F"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22%</w:t>
            </w:r>
          </w:p>
        </w:tc>
        <w:tc>
          <w:tcPr>
            <w:tcW w:w="3006" w:type="dxa"/>
          </w:tcPr>
          <w:p w14:paraId="494E6194"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25%</w:t>
            </w:r>
          </w:p>
        </w:tc>
      </w:tr>
      <w:tr w:rsidR="00E26FFB" w:rsidRPr="00EB4A49" w14:paraId="128F5550" w14:textId="77777777" w:rsidTr="00E26FFB">
        <w:tc>
          <w:tcPr>
            <w:tcW w:w="3005" w:type="dxa"/>
          </w:tcPr>
          <w:p w14:paraId="743729AD"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SEN-support pupils</w:t>
            </w:r>
          </w:p>
        </w:tc>
        <w:tc>
          <w:tcPr>
            <w:tcW w:w="3005" w:type="dxa"/>
          </w:tcPr>
          <w:p w14:paraId="0346D3C7"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20%</w:t>
            </w:r>
          </w:p>
        </w:tc>
        <w:tc>
          <w:tcPr>
            <w:tcW w:w="3006" w:type="dxa"/>
          </w:tcPr>
          <w:p w14:paraId="4F372B92"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18%</w:t>
            </w:r>
          </w:p>
        </w:tc>
      </w:tr>
      <w:tr w:rsidR="00E26FFB" w:rsidRPr="00EB4A49" w14:paraId="19571348" w14:textId="77777777" w:rsidTr="00E26FFB">
        <w:tc>
          <w:tcPr>
            <w:tcW w:w="3005" w:type="dxa"/>
          </w:tcPr>
          <w:p w14:paraId="1FC89D4E"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All pupils</w:t>
            </w:r>
          </w:p>
        </w:tc>
        <w:tc>
          <w:tcPr>
            <w:tcW w:w="3005" w:type="dxa"/>
          </w:tcPr>
          <w:p w14:paraId="6E47787F"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8.1%</w:t>
            </w:r>
          </w:p>
        </w:tc>
        <w:tc>
          <w:tcPr>
            <w:tcW w:w="3006" w:type="dxa"/>
          </w:tcPr>
          <w:p w14:paraId="46E6A50F" w14:textId="77777777" w:rsidR="00E26FFB" w:rsidRPr="00EB4A49" w:rsidRDefault="00E26FFB" w:rsidP="00177DBD">
            <w:pPr>
              <w:rPr>
                <w:rFonts w:asciiTheme="majorHAnsi" w:hAnsiTheme="majorHAnsi" w:cstheme="majorHAnsi"/>
                <w:sz w:val="24"/>
                <w:szCs w:val="24"/>
              </w:rPr>
            </w:pPr>
            <w:r w:rsidRPr="00EB4A49">
              <w:rPr>
                <w:rFonts w:asciiTheme="majorHAnsi" w:hAnsiTheme="majorHAnsi" w:cstheme="majorHAnsi"/>
                <w:sz w:val="24"/>
                <w:szCs w:val="24"/>
              </w:rPr>
              <w:t>9.1%</w:t>
            </w:r>
          </w:p>
        </w:tc>
      </w:tr>
    </w:tbl>
    <w:p w14:paraId="4DFBE5DB" w14:textId="6F099AB2" w:rsidR="002169B1" w:rsidRPr="002169B1" w:rsidRDefault="002169B1" w:rsidP="002169B1">
      <w:pPr>
        <w:rPr>
          <w:rFonts w:asciiTheme="majorHAnsi" w:hAnsiTheme="majorHAnsi" w:cstheme="majorHAnsi"/>
          <w:sz w:val="24"/>
          <w:szCs w:val="24"/>
        </w:rPr>
      </w:pPr>
    </w:p>
    <w:p w14:paraId="53ADD760" w14:textId="77777777" w:rsidR="002169B1" w:rsidRPr="002169B1" w:rsidRDefault="002169B1" w:rsidP="002169B1">
      <w:pPr>
        <w:rPr>
          <w:rFonts w:asciiTheme="majorHAnsi" w:hAnsiTheme="majorHAnsi" w:cstheme="majorHAnsi"/>
          <w:sz w:val="24"/>
          <w:szCs w:val="24"/>
        </w:rPr>
      </w:pPr>
      <w:r>
        <w:rPr>
          <w:rFonts w:asciiTheme="majorHAnsi" w:hAnsiTheme="majorHAnsi" w:cstheme="majorHAnsi"/>
          <w:sz w:val="24"/>
          <w:szCs w:val="24"/>
        </w:rPr>
        <w:t xml:space="preserve">In interviews parents who had experienced long period of school absences were quick to mention their concerns about the impact on their child’s education. Parents also </w:t>
      </w:r>
      <w:r w:rsidRPr="002169B1">
        <w:rPr>
          <w:rFonts w:asciiTheme="majorHAnsi" w:hAnsiTheme="majorHAnsi" w:cstheme="majorHAnsi"/>
          <w:sz w:val="24"/>
          <w:szCs w:val="24"/>
        </w:rPr>
        <w:t xml:space="preserve">described the practical, and social upheaval associated with having a child off school for an extended period.  </w:t>
      </w:r>
      <w:r>
        <w:rPr>
          <w:rFonts w:asciiTheme="majorHAnsi" w:hAnsiTheme="majorHAnsi" w:cstheme="majorHAnsi"/>
          <w:sz w:val="24"/>
          <w:szCs w:val="24"/>
        </w:rPr>
        <w:t xml:space="preserve">One parent describes experiencing social stigma, and another spoke about having very limited communication with the school during the period of her child’s absence. </w:t>
      </w:r>
    </w:p>
    <w:p w14:paraId="4F2C6F64" w14:textId="78C1014D" w:rsidR="002169B1" w:rsidRPr="002169B1" w:rsidRDefault="001608D0" w:rsidP="00177DBD">
      <w:pPr>
        <w:rPr>
          <w:rFonts w:asciiTheme="majorHAnsi" w:hAnsiTheme="majorHAnsi" w:cstheme="majorHAnsi"/>
          <w:b/>
          <w:sz w:val="24"/>
          <w:szCs w:val="24"/>
        </w:rPr>
      </w:pPr>
      <w:r>
        <w:rPr>
          <w:rFonts w:asciiTheme="majorHAnsi" w:hAnsiTheme="majorHAnsi" w:cstheme="majorHAnsi"/>
          <w:b/>
          <w:sz w:val="24"/>
          <w:szCs w:val="24"/>
        </w:rPr>
        <w:t>R</w:t>
      </w:r>
      <w:r w:rsidR="002169B1" w:rsidRPr="002169B1">
        <w:rPr>
          <w:rFonts w:asciiTheme="majorHAnsi" w:hAnsiTheme="majorHAnsi" w:cstheme="majorHAnsi"/>
          <w:b/>
          <w:sz w:val="24"/>
          <w:szCs w:val="24"/>
        </w:rPr>
        <w:t xml:space="preserve">ecommendation: To review the support and communication available to families of children who are school refusing or otherwise off school. This might be in terms of parent’s mental health resources, or signposting for practical advice around employment and the logistics </w:t>
      </w:r>
      <w:r w:rsidR="002169B1">
        <w:rPr>
          <w:rFonts w:asciiTheme="majorHAnsi" w:hAnsiTheme="majorHAnsi" w:cstheme="majorHAnsi"/>
          <w:b/>
          <w:sz w:val="24"/>
          <w:szCs w:val="24"/>
        </w:rPr>
        <w:t>of home education.</w:t>
      </w:r>
    </w:p>
    <w:p w14:paraId="76BA3048" w14:textId="77777777" w:rsidR="00D95EE8" w:rsidRPr="00EB4A49" w:rsidRDefault="00D95EE8" w:rsidP="00177DBD">
      <w:pPr>
        <w:rPr>
          <w:rFonts w:asciiTheme="majorHAnsi" w:hAnsiTheme="majorHAnsi" w:cstheme="majorHAnsi"/>
          <w:sz w:val="24"/>
          <w:szCs w:val="24"/>
        </w:rPr>
      </w:pPr>
      <w:r>
        <w:rPr>
          <w:rFonts w:asciiTheme="majorHAnsi" w:hAnsiTheme="majorHAnsi" w:cstheme="majorHAnsi"/>
          <w:sz w:val="24"/>
          <w:szCs w:val="24"/>
        </w:rPr>
        <w:t>In interview with parents, a small number spoke about their children being taken out of class on a regular basis for reasons linked to behaviour. Parents were keen to emphasise that this was linked to unmet need. The pupils were still in school, but sitting in other classrooms or in some form of isolation. This would not register as a formal absence, but can have a significant impact on a child’s access to education</w:t>
      </w:r>
      <w:r w:rsidR="008270C7">
        <w:rPr>
          <w:rFonts w:asciiTheme="majorHAnsi" w:hAnsiTheme="majorHAnsi" w:cstheme="majorHAnsi"/>
          <w:sz w:val="24"/>
          <w:szCs w:val="24"/>
        </w:rPr>
        <w:t xml:space="preserve"> and their wellbeing</w:t>
      </w:r>
      <w:r>
        <w:rPr>
          <w:rFonts w:asciiTheme="majorHAnsi" w:hAnsiTheme="majorHAnsi" w:cstheme="majorHAnsi"/>
          <w:sz w:val="24"/>
          <w:szCs w:val="24"/>
        </w:rPr>
        <w:t xml:space="preserve">. One parent spoke that her child spend 70% of his education time in the corridor. </w:t>
      </w:r>
    </w:p>
    <w:p w14:paraId="5FDB3C01" w14:textId="61BC0A3B" w:rsidR="000242F1" w:rsidRPr="00EB4A49" w:rsidRDefault="00E26FFB">
      <w:pPr>
        <w:rPr>
          <w:rFonts w:asciiTheme="majorHAnsi" w:hAnsiTheme="majorHAnsi" w:cstheme="majorHAnsi"/>
          <w:b/>
          <w:sz w:val="24"/>
          <w:szCs w:val="24"/>
        </w:rPr>
      </w:pPr>
      <w:r w:rsidRPr="00EB4A49">
        <w:rPr>
          <w:rFonts w:asciiTheme="majorHAnsi" w:hAnsiTheme="majorHAnsi" w:cstheme="majorHAnsi"/>
          <w:b/>
          <w:sz w:val="24"/>
          <w:szCs w:val="24"/>
        </w:rPr>
        <w:t>Recommendation: For the SEND improvement board to</w:t>
      </w:r>
      <w:r w:rsidR="008270C7">
        <w:rPr>
          <w:rFonts w:asciiTheme="majorHAnsi" w:hAnsiTheme="majorHAnsi" w:cstheme="majorHAnsi"/>
          <w:b/>
          <w:sz w:val="24"/>
          <w:szCs w:val="24"/>
        </w:rPr>
        <w:t xml:space="preserve"> undertake a deep dive around the factors influencing absences and with school absences. Ideally this should include parent testimony. </w:t>
      </w:r>
    </w:p>
    <w:p w14:paraId="499B1E64" w14:textId="77777777" w:rsidR="00441079" w:rsidRDefault="00441079" w:rsidP="00441079">
      <w:r>
        <w:rPr>
          <w:rFonts w:asciiTheme="majorHAnsi" w:hAnsiTheme="majorHAnsi" w:cstheme="majorHAnsi"/>
          <w:sz w:val="24"/>
          <w:szCs w:val="24"/>
        </w:rPr>
        <w:t xml:space="preserve">For several parents, being outside of the classroom without formal absence had links to behavioural policies and bullying. </w:t>
      </w:r>
      <w:r w:rsidRPr="00441079">
        <w:rPr>
          <w:rFonts w:asciiTheme="majorHAnsi" w:hAnsiTheme="majorHAnsi" w:cstheme="majorHAnsi"/>
          <w:sz w:val="24"/>
          <w:szCs w:val="24"/>
        </w:rPr>
        <w:t>Most of the parents felt well informed about the schools bullying policy and behaviour escalation procedures, this seemed to be an area where school communication with parents was generally good. Parents also recognise that a bullying or behaviour policies should be universally appropriate in order to be transparent. Parents did voice concern that the policies were not always inclusive of special educational needs and disability, particularly social and communication needs. Parents were able to give examples of where they felt these policies had a disproportionate effect on their children because of SEND.</w:t>
      </w:r>
    </w:p>
    <w:p w14:paraId="5EE9CE13" w14:textId="20F26242" w:rsidR="00441079" w:rsidRPr="00A558AB" w:rsidRDefault="00DD2E2D" w:rsidP="00441079">
      <w:pPr>
        <w:rPr>
          <w:b/>
        </w:rPr>
      </w:pPr>
      <w:r>
        <w:rPr>
          <w:b/>
        </w:rPr>
        <w:t>R</w:t>
      </w:r>
      <w:r w:rsidR="00441079">
        <w:rPr>
          <w:b/>
        </w:rPr>
        <w:t>ecommendation: To coproduce</w:t>
      </w:r>
      <w:r w:rsidR="00441079" w:rsidRPr="00F03E75">
        <w:rPr>
          <w:b/>
        </w:rPr>
        <w:t xml:space="preserve"> best practice advice, or another form of review, with parents and schools on how to make universal school behaviour and bullying policies inclusive.  </w:t>
      </w:r>
    </w:p>
    <w:p w14:paraId="04315BF0" w14:textId="4F84E94C" w:rsidR="00441079" w:rsidRPr="00441079" w:rsidRDefault="00441079" w:rsidP="00441079">
      <w:pPr>
        <w:rPr>
          <w:rFonts w:asciiTheme="majorHAnsi" w:hAnsiTheme="majorHAnsi" w:cstheme="majorHAnsi"/>
          <w:sz w:val="24"/>
          <w:szCs w:val="24"/>
        </w:rPr>
      </w:pPr>
      <w:r>
        <w:rPr>
          <w:rFonts w:asciiTheme="majorHAnsi" w:hAnsiTheme="majorHAnsi" w:cstheme="majorHAnsi"/>
          <w:sz w:val="24"/>
          <w:szCs w:val="24"/>
        </w:rPr>
        <w:t xml:space="preserve">However, this experience was not uniform. </w:t>
      </w:r>
      <w:r w:rsidRPr="00441079">
        <w:rPr>
          <w:rFonts w:asciiTheme="majorHAnsi" w:hAnsiTheme="majorHAnsi" w:cstheme="majorHAnsi"/>
          <w:sz w:val="24"/>
          <w:szCs w:val="24"/>
        </w:rPr>
        <w:t xml:space="preserve">The 2019 OFSTED SEND inspection report tells us that families’ experience of education, health and care services working together varies </w:t>
      </w:r>
      <w:r w:rsidRPr="00441079">
        <w:rPr>
          <w:rFonts w:asciiTheme="majorHAnsi" w:hAnsiTheme="majorHAnsi" w:cstheme="majorHAnsi"/>
          <w:sz w:val="24"/>
          <w:szCs w:val="24"/>
        </w:rPr>
        <w:lastRenderedPageBreak/>
        <w:t xml:space="preserve">widely and is too dependent on individual professionals and setting. This finding was echoed in the parent interviews. All of the parents of children in mainstream education spoke about the variation in teaching approach between class teachers. By example, one parent said her child’s favourite subject suddenly became English, because the teacher allowed her son to leave his coat and rucksack on in class [which helped with sensory regulation]. Another parent said hers son had a very positive year five in primary because of two really positive teachers who ‘got hold of him’. However two other parents reported they had been told </w:t>
      </w:r>
      <w:r>
        <w:rPr>
          <w:rFonts w:asciiTheme="majorHAnsi" w:hAnsiTheme="majorHAnsi" w:cstheme="majorHAnsi"/>
          <w:sz w:val="24"/>
          <w:szCs w:val="24"/>
        </w:rPr>
        <w:t xml:space="preserve">that their child was naughty or rude; where an SEND had not been identified, or was not being met. </w:t>
      </w:r>
    </w:p>
    <w:p w14:paraId="74A0B637" w14:textId="37125CBD" w:rsidR="00441079" w:rsidRDefault="00441079" w:rsidP="00441079">
      <w:pPr>
        <w:rPr>
          <w:b/>
        </w:rPr>
      </w:pPr>
      <w:r w:rsidRPr="00ED6827">
        <w:rPr>
          <w:b/>
        </w:rPr>
        <w:t xml:space="preserve">Recommendation: To maintain </w:t>
      </w:r>
      <w:r>
        <w:rPr>
          <w:b/>
        </w:rPr>
        <w:t>a</w:t>
      </w:r>
      <w:r w:rsidRPr="00ED6827">
        <w:rPr>
          <w:b/>
        </w:rPr>
        <w:t xml:space="preserve"> focus on whole school training</w:t>
      </w:r>
      <w:r>
        <w:rPr>
          <w:b/>
        </w:rPr>
        <w:t xml:space="preserve"> and practical whole class support for </w:t>
      </w:r>
      <w:r w:rsidRPr="00ED6827">
        <w:rPr>
          <w:b/>
        </w:rPr>
        <w:t xml:space="preserve">teaching staff, especially </w:t>
      </w:r>
      <w:r>
        <w:rPr>
          <w:b/>
        </w:rPr>
        <w:t>social and</w:t>
      </w:r>
      <w:r w:rsidRPr="00ED6827">
        <w:rPr>
          <w:b/>
        </w:rPr>
        <w:t xml:space="preserve"> communication needs as these are particularly likely to be expressed in ‘behaviour’ if a child’s needs are not being met. </w:t>
      </w:r>
    </w:p>
    <w:p w14:paraId="298F3B57" w14:textId="3F26AF9D" w:rsidR="00D70A74" w:rsidRPr="00441079" w:rsidRDefault="00441079">
      <w:pPr>
        <w:rPr>
          <w:rFonts w:asciiTheme="majorHAnsi" w:hAnsiTheme="majorHAnsi" w:cstheme="majorHAnsi"/>
          <w:sz w:val="24"/>
          <w:szCs w:val="24"/>
        </w:rPr>
      </w:pPr>
      <w:r w:rsidRPr="00441079">
        <w:rPr>
          <w:rFonts w:asciiTheme="majorHAnsi" w:hAnsiTheme="majorHAnsi" w:cstheme="majorHAnsi"/>
          <w:sz w:val="24"/>
          <w:szCs w:val="24"/>
        </w:rPr>
        <w:t xml:space="preserve">This point has strong parallels to a recommendation made earlier in the report about identifying good practice and opportunities for uniformity in the identification of special educational needs. </w:t>
      </w:r>
    </w:p>
    <w:p w14:paraId="2844B9A5" w14:textId="77777777" w:rsidR="00D70A74" w:rsidRPr="00EB4A49" w:rsidRDefault="00D70A74">
      <w:pPr>
        <w:rPr>
          <w:rFonts w:asciiTheme="majorHAnsi" w:hAnsiTheme="majorHAnsi" w:cstheme="majorHAnsi"/>
          <w:b/>
          <w:sz w:val="24"/>
          <w:szCs w:val="24"/>
        </w:rPr>
      </w:pPr>
    </w:p>
    <w:p w14:paraId="43BF4493" w14:textId="13799E79" w:rsidR="009D20B5" w:rsidRPr="00EB4A49" w:rsidRDefault="009D20B5" w:rsidP="009D20B5">
      <w:pPr>
        <w:pStyle w:val="Heading1"/>
        <w:rPr>
          <w:rFonts w:cstheme="majorHAnsi"/>
          <w:b/>
          <w:sz w:val="24"/>
          <w:szCs w:val="24"/>
        </w:rPr>
      </w:pPr>
      <w:bookmarkStart w:id="27" w:name="_Toc58575087"/>
      <w:r w:rsidRPr="00EB4A49">
        <w:rPr>
          <w:rFonts w:cstheme="majorHAnsi"/>
          <w:b/>
          <w:sz w:val="24"/>
          <w:szCs w:val="24"/>
        </w:rPr>
        <w:t xml:space="preserve">Health </w:t>
      </w:r>
      <w:r>
        <w:rPr>
          <w:rFonts w:cstheme="majorHAnsi"/>
          <w:b/>
          <w:sz w:val="24"/>
          <w:szCs w:val="24"/>
        </w:rPr>
        <w:t>and healthcare for children and young people with special educational needs</w:t>
      </w:r>
      <w:r w:rsidR="00911F35">
        <w:rPr>
          <w:rFonts w:cstheme="majorHAnsi"/>
          <w:b/>
          <w:sz w:val="24"/>
          <w:szCs w:val="24"/>
        </w:rPr>
        <w:t xml:space="preserve"> and disabilities</w:t>
      </w:r>
      <w:bookmarkEnd w:id="27"/>
      <w:r>
        <w:rPr>
          <w:rFonts w:cstheme="majorHAnsi"/>
          <w:b/>
          <w:sz w:val="24"/>
          <w:szCs w:val="24"/>
        </w:rPr>
        <w:t xml:space="preserve"> </w:t>
      </w:r>
      <w:r w:rsidRPr="00EB4A49">
        <w:rPr>
          <w:rFonts w:cstheme="majorHAnsi"/>
          <w:b/>
          <w:sz w:val="24"/>
          <w:szCs w:val="24"/>
        </w:rPr>
        <w:t xml:space="preserve">  </w:t>
      </w:r>
    </w:p>
    <w:p w14:paraId="1BB68DC0" w14:textId="77777777" w:rsidR="009D20B5" w:rsidRDefault="009D20B5" w:rsidP="009D20B5">
      <w:pPr>
        <w:rPr>
          <w:rFonts w:asciiTheme="majorHAnsi" w:hAnsiTheme="majorHAnsi" w:cstheme="majorHAnsi"/>
          <w:sz w:val="24"/>
          <w:szCs w:val="24"/>
        </w:rPr>
      </w:pPr>
    </w:p>
    <w:p w14:paraId="4568CA21" w14:textId="77777777" w:rsidR="009D20B5" w:rsidRDefault="009D20B5" w:rsidP="009D20B5">
      <w:pPr>
        <w:pStyle w:val="Heading2"/>
        <w:rPr>
          <w:rFonts w:cstheme="majorHAnsi"/>
          <w:sz w:val="24"/>
          <w:szCs w:val="24"/>
        </w:rPr>
      </w:pPr>
      <w:bookmarkStart w:id="28" w:name="_Toc58575088"/>
      <w:r>
        <w:rPr>
          <w:rFonts w:cstheme="majorHAnsi"/>
          <w:sz w:val="24"/>
          <w:szCs w:val="24"/>
        </w:rPr>
        <w:t>Primary Health Care</w:t>
      </w:r>
      <w:bookmarkEnd w:id="28"/>
      <w:r>
        <w:rPr>
          <w:rFonts w:cstheme="majorHAnsi"/>
          <w:sz w:val="24"/>
          <w:szCs w:val="24"/>
        </w:rPr>
        <w:t xml:space="preserve"> </w:t>
      </w:r>
    </w:p>
    <w:p w14:paraId="601F237C" w14:textId="77777777" w:rsidR="00174774" w:rsidRDefault="009D20B5" w:rsidP="009D20B5">
      <w:pPr>
        <w:rPr>
          <w:rFonts w:asciiTheme="majorHAnsi" w:hAnsiTheme="majorHAnsi" w:cstheme="majorHAnsi"/>
          <w:sz w:val="24"/>
          <w:szCs w:val="24"/>
        </w:rPr>
      </w:pPr>
      <w:r>
        <w:rPr>
          <w:rFonts w:asciiTheme="majorHAnsi" w:hAnsiTheme="majorHAnsi" w:cstheme="majorHAnsi"/>
          <w:sz w:val="24"/>
          <w:szCs w:val="24"/>
        </w:rPr>
        <w:t>At present, primary care data is not helpful for identifying children and young people with SEND, or answering questions about their health care. GPs hold a register of learning disability, but</w:t>
      </w:r>
      <w:r w:rsidR="008270C7">
        <w:rPr>
          <w:rFonts w:asciiTheme="majorHAnsi" w:hAnsiTheme="majorHAnsi" w:cstheme="majorHAnsi"/>
          <w:sz w:val="24"/>
          <w:szCs w:val="24"/>
        </w:rPr>
        <w:t xml:space="preserve"> as this involves self-notification, it is recognised t</w:t>
      </w:r>
      <w:r>
        <w:rPr>
          <w:rFonts w:asciiTheme="majorHAnsi" w:hAnsiTheme="majorHAnsi" w:cstheme="majorHAnsi"/>
          <w:sz w:val="24"/>
          <w:szCs w:val="24"/>
        </w:rPr>
        <w:t xml:space="preserve">o be incomplete and </w:t>
      </w:r>
      <w:r w:rsidR="008270C7">
        <w:rPr>
          <w:rFonts w:asciiTheme="majorHAnsi" w:hAnsiTheme="majorHAnsi" w:cstheme="majorHAnsi"/>
          <w:sz w:val="24"/>
          <w:szCs w:val="24"/>
        </w:rPr>
        <w:t>practices use</w:t>
      </w:r>
      <w:r>
        <w:rPr>
          <w:rFonts w:asciiTheme="majorHAnsi" w:hAnsiTheme="majorHAnsi" w:cstheme="majorHAnsi"/>
          <w:sz w:val="24"/>
          <w:szCs w:val="24"/>
        </w:rPr>
        <w:t xml:space="preserve"> the register in different ways.</w:t>
      </w:r>
      <w:r w:rsidRPr="00FC0233">
        <w:rPr>
          <w:rFonts w:asciiTheme="majorHAnsi" w:hAnsiTheme="majorHAnsi" w:cstheme="majorHAnsi"/>
          <w:sz w:val="24"/>
          <w:szCs w:val="24"/>
        </w:rPr>
        <w:t xml:space="preserve"> </w:t>
      </w:r>
      <w:r w:rsidR="008270C7">
        <w:rPr>
          <w:rFonts w:asciiTheme="majorHAnsi" w:hAnsiTheme="majorHAnsi" w:cstheme="majorHAnsi"/>
          <w:sz w:val="24"/>
          <w:szCs w:val="24"/>
        </w:rPr>
        <w:t>All people aged 14 and above with a learning disability may access an annual health check with their GP. This NHS scheme is to improve the long term health of people with learning disabilities.</w:t>
      </w:r>
      <w:r w:rsidR="00174774">
        <w:rPr>
          <w:rFonts w:asciiTheme="majorHAnsi" w:hAnsiTheme="majorHAnsi" w:cstheme="majorHAnsi"/>
          <w:sz w:val="24"/>
          <w:szCs w:val="24"/>
        </w:rPr>
        <w:t xml:space="preserve"> For reasons linked to patient interest and scheme promotion, currently many people with a learning disability do not take up this offer. </w:t>
      </w:r>
    </w:p>
    <w:p w14:paraId="25A14189" w14:textId="23102AF5" w:rsidR="009D20B5" w:rsidRDefault="009D20B5" w:rsidP="009D20B5">
      <w:pPr>
        <w:rPr>
          <w:rFonts w:asciiTheme="majorHAnsi" w:hAnsiTheme="majorHAnsi" w:cstheme="majorHAnsi"/>
          <w:sz w:val="24"/>
          <w:szCs w:val="24"/>
        </w:rPr>
      </w:pPr>
      <w:r>
        <w:rPr>
          <w:rFonts w:asciiTheme="majorHAnsi" w:hAnsiTheme="majorHAnsi" w:cstheme="majorHAnsi"/>
          <w:sz w:val="24"/>
          <w:szCs w:val="24"/>
        </w:rPr>
        <w:t xml:space="preserve">Additionally, the GP practice register is also not able to reliably identify other </w:t>
      </w:r>
      <w:r w:rsidR="00D11AAE">
        <w:rPr>
          <w:rFonts w:asciiTheme="majorHAnsi" w:hAnsiTheme="majorHAnsi" w:cstheme="majorHAnsi"/>
          <w:sz w:val="24"/>
          <w:szCs w:val="24"/>
        </w:rPr>
        <w:t>SEND groups</w:t>
      </w:r>
      <w:r>
        <w:rPr>
          <w:rFonts w:asciiTheme="majorHAnsi" w:hAnsiTheme="majorHAnsi" w:cstheme="majorHAnsi"/>
          <w:sz w:val="24"/>
          <w:szCs w:val="24"/>
        </w:rPr>
        <w:t>, for example speech and language need, social, emotional, or mental health need, or var</w:t>
      </w:r>
      <w:r w:rsidR="00174774">
        <w:rPr>
          <w:rFonts w:asciiTheme="majorHAnsi" w:hAnsiTheme="majorHAnsi" w:cstheme="majorHAnsi"/>
          <w:sz w:val="24"/>
          <w:szCs w:val="24"/>
        </w:rPr>
        <w:t xml:space="preserve">ious forms of neurodiversity. Primary care is better able to identify </w:t>
      </w:r>
      <w:r>
        <w:rPr>
          <w:rFonts w:asciiTheme="majorHAnsi" w:hAnsiTheme="majorHAnsi" w:cstheme="majorHAnsi"/>
          <w:sz w:val="24"/>
          <w:szCs w:val="24"/>
        </w:rPr>
        <w:t xml:space="preserve">physical disability and sensory impairment. </w:t>
      </w:r>
    </w:p>
    <w:p w14:paraId="365BF76B" w14:textId="77777777" w:rsidR="009D20B5" w:rsidRPr="00FC0233" w:rsidRDefault="009D20B5" w:rsidP="009D20B5">
      <w:pPr>
        <w:rPr>
          <w:rFonts w:asciiTheme="majorHAnsi" w:hAnsiTheme="majorHAnsi" w:cstheme="majorHAnsi"/>
          <w:sz w:val="24"/>
        </w:rPr>
      </w:pPr>
      <w:r w:rsidRPr="00FC0233">
        <w:rPr>
          <w:rFonts w:asciiTheme="majorHAnsi" w:hAnsiTheme="majorHAnsi" w:cstheme="majorHAnsi"/>
          <w:sz w:val="24"/>
        </w:rPr>
        <w:t xml:space="preserve">In interviews, parents mentioned challenges in accessing health care linked to advocating for their young person who is over the age of 16. One parent had agreed a plan with the GP for the parent to be listed as the main contact for her child with a registered learning disability, but then explained that the young person was still being asked to make appointments and receive information about results by phone, causing delay in care. Another parent of a child nearing 16 with significant information processing limitations had not begun any formal advocacy process, and was only made aware of this when the hospital learning disability nurse expressed surprise. </w:t>
      </w:r>
    </w:p>
    <w:p w14:paraId="012F84C3" w14:textId="6C82D106" w:rsidR="009D20B5" w:rsidRPr="00FC0233" w:rsidRDefault="009D20B5" w:rsidP="009D20B5">
      <w:pPr>
        <w:rPr>
          <w:rFonts w:asciiTheme="majorHAnsi" w:hAnsiTheme="majorHAnsi" w:cstheme="majorHAnsi"/>
          <w:b/>
          <w:sz w:val="24"/>
        </w:rPr>
      </w:pPr>
      <w:r w:rsidRPr="00FC0233">
        <w:rPr>
          <w:rFonts w:asciiTheme="majorHAnsi" w:hAnsiTheme="majorHAnsi" w:cstheme="majorHAnsi"/>
          <w:b/>
          <w:sz w:val="24"/>
        </w:rPr>
        <w:lastRenderedPageBreak/>
        <w:t xml:space="preserve">Recommendation: To include discussions on this topic in the EHCP review as part of the preparation for adulthood section. This might include making parents aware of how access to health care might change when their young person turns 16, where appropriate this might include making parents aware of the principles and advocacy and power of attorney.  </w:t>
      </w:r>
    </w:p>
    <w:p w14:paraId="1704EBDB" w14:textId="77777777" w:rsidR="009D20B5" w:rsidRDefault="009D20B5" w:rsidP="009D20B5">
      <w:pPr>
        <w:rPr>
          <w:rFonts w:asciiTheme="majorHAnsi" w:hAnsiTheme="majorHAnsi" w:cstheme="majorHAnsi"/>
          <w:sz w:val="24"/>
          <w:szCs w:val="24"/>
        </w:rPr>
      </w:pPr>
    </w:p>
    <w:p w14:paraId="32D9012F" w14:textId="77777777" w:rsidR="009D20B5" w:rsidRDefault="009D20B5" w:rsidP="009D20B5">
      <w:pPr>
        <w:pStyle w:val="Heading2"/>
        <w:rPr>
          <w:rFonts w:cstheme="majorHAnsi"/>
          <w:sz w:val="24"/>
          <w:szCs w:val="24"/>
        </w:rPr>
      </w:pPr>
      <w:bookmarkStart w:id="29" w:name="_Toc58575089"/>
      <w:r>
        <w:rPr>
          <w:rFonts w:cstheme="majorHAnsi"/>
          <w:sz w:val="24"/>
          <w:szCs w:val="24"/>
        </w:rPr>
        <w:t xml:space="preserve">Secondary </w:t>
      </w:r>
      <w:r w:rsidR="000E6DA0">
        <w:rPr>
          <w:rFonts w:cstheme="majorHAnsi"/>
          <w:sz w:val="24"/>
          <w:szCs w:val="24"/>
        </w:rPr>
        <w:t xml:space="preserve">Physical Health </w:t>
      </w:r>
      <w:r>
        <w:rPr>
          <w:rFonts w:cstheme="majorHAnsi"/>
          <w:sz w:val="24"/>
          <w:szCs w:val="24"/>
        </w:rPr>
        <w:t>Care</w:t>
      </w:r>
      <w:bookmarkEnd w:id="29"/>
      <w:r>
        <w:rPr>
          <w:rFonts w:cstheme="majorHAnsi"/>
          <w:sz w:val="24"/>
          <w:szCs w:val="24"/>
        </w:rPr>
        <w:t xml:space="preserve"> </w:t>
      </w:r>
    </w:p>
    <w:p w14:paraId="4A0F3823" w14:textId="29EEE799" w:rsidR="00543F3A" w:rsidRDefault="009D20B5" w:rsidP="009D20B5">
      <w:pPr>
        <w:rPr>
          <w:rFonts w:asciiTheme="majorHAnsi" w:hAnsiTheme="majorHAnsi" w:cstheme="majorHAnsi"/>
          <w:sz w:val="28"/>
          <w:szCs w:val="24"/>
        </w:rPr>
      </w:pPr>
      <w:r>
        <w:rPr>
          <w:rFonts w:asciiTheme="majorHAnsi" w:hAnsiTheme="majorHAnsi" w:cstheme="majorHAnsi"/>
          <w:sz w:val="24"/>
          <w:szCs w:val="24"/>
        </w:rPr>
        <w:t xml:space="preserve">There are a number of data sets in secondary care. The paediatrics data </w:t>
      </w:r>
      <w:r w:rsidR="00174774">
        <w:rPr>
          <w:rFonts w:asciiTheme="majorHAnsi" w:hAnsiTheme="majorHAnsi" w:cstheme="majorHAnsi"/>
          <w:sz w:val="24"/>
          <w:szCs w:val="24"/>
        </w:rPr>
        <w:t xml:space="preserve">from York Teaching Hospital Foundation Trust tells us that in August 2020, </w:t>
      </w:r>
      <w:r>
        <w:rPr>
          <w:rFonts w:asciiTheme="majorHAnsi" w:hAnsiTheme="majorHAnsi" w:cstheme="majorHAnsi"/>
          <w:sz w:val="24"/>
          <w:szCs w:val="24"/>
        </w:rPr>
        <w:t>over 559 open paediatrics referrals are for children with epilepsy, 341 are for children with a sensory impairment, and 162 are for children with downs syndrome, 88 have learning disability, and 81 have a physical disability. These figures involve double counting for children with more than one long term condition. However, this data set will not match neatly with the SEND data set for two reasons. Firstly some of these children’s conditions will not be impacting their education. Secondly there are many children who have SEND but are physically healthy and so do not appear on this paediatrics register. This will be most true for communication needs and mental health needs, It is possible to look at the reasons children were in contact with the paediatrics team. The most common diagnosis listed were autism and learning disability; these diagnosis will not have been made in the paediatrics team, and are better considered as pre-existing conditions that were included in the presentation notes. The next most common conditions were tongue-tie, three types of heart structure defect, a foot formation defect, and birthmarks. This second list gives a clearer picture of the types of care children were receiving. From this data set alone, it is not possible to clearly identify which paediatric visits were linked to a child’s special educational need</w:t>
      </w:r>
      <w:r w:rsidR="00D11AAE">
        <w:rPr>
          <w:rFonts w:asciiTheme="majorHAnsi" w:hAnsiTheme="majorHAnsi" w:cstheme="majorHAnsi"/>
          <w:sz w:val="24"/>
          <w:szCs w:val="24"/>
        </w:rPr>
        <w:t>s and disabilities</w:t>
      </w:r>
      <w:r>
        <w:rPr>
          <w:rFonts w:asciiTheme="majorHAnsi" w:hAnsiTheme="majorHAnsi" w:cstheme="majorHAnsi"/>
          <w:sz w:val="24"/>
          <w:szCs w:val="24"/>
        </w:rPr>
        <w:t xml:space="preserve">, it was also not possible to draw out any conclusions about the patient or family experience. Overall, this demonstrates that whilst these data sets are able to tell us some useful things, the present health data sources are not good at informing us about the health and wellbeing </w:t>
      </w:r>
      <w:r w:rsidRPr="003A5477">
        <w:rPr>
          <w:rFonts w:asciiTheme="majorHAnsi" w:hAnsiTheme="majorHAnsi" w:cstheme="majorHAnsi"/>
          <w:sz w:val="24"/>
          <w:szCs w:val="24"/>
        </w:rPr>
        <w:t>of children and young people with special educational needs</w:t>
      </w:r>
      <w:r w:rsidR="00911F35">
        <w:rPr>
          <w:rFonts w:asciiTheme="majorHAnsi" w:hAnsiTheme="majorHAnsi" w:cstheme="majorHAnsi"/>
          <w:sz w:val="24"/>
          <w:szCs w:val="24"/>
        </w:rPr>
        <w:t xml:space="preserve"> and disabilities</w:t>
      </w:r>
      <w:r w:rsidRPr="003A5477">
        <w:rPr>
          <w:rFonts w:asciiTheme="majorHAnsi" w:hAnsiTheme="majorHAnsi" w:cstheme="majorHAnsi"/>
          <w:sz w:val="24"/>
          <w:szCs w:val="24"/>
        </w:rPr>
        <w:t>.</w:t>
      </w:r>
      <w:r w:rsidRPr="00FC0233">
        <w:rPr>
          <w:rFonts w:asciiTheme="majorHAnsi" w:hAnsiTheme="majorHAnsi" w:cstheme="majorHAnsi"/>
          <w:sz w:val="28"/>
          <w:szCs w:val="24"/>
        </w:rPr>
        <w:t xml:space="preserve"> </w:t>
      </w:r>
    </w:p>
    <w:p w14:paraId="44E9608F" w14:textId="77777777" w:rsidR="00543F3A" w:rsidRPr="007F5623" w:rsidRDefault="00543F3A" w:rsidP="009D20B5">
      <w:pPr>
        <w:rPr>
          <w:rFonts w:asciiTheme="majorHAnsi" w:hAnsiTheme="majorHAnsi" w:cstheme="majorHAnsi"/>
          <w:sz w:val="24"/>
          <w:szCs w:val="24"/>
        </w:rPr>
      </w:pPr>
      <w:r w:rsidRPr="007F5623">
        <w:rPr>
          <w:rFonts w:asciiTheme="majorHAnsi" w:hAnsiTheme="majorHAnsi" w:cstheme="majorHAnsi"/>
          <w:sz w:val="24"/>
          <w:szCs w:val="24"/>
        </w:rPr>
        <w:t>There are further specialist data sets collected by the Vale of York CCG, for example the number of children and young people with support for incontinence, and the number of children and young people with wheelchairs or specialist buggy equipment</w:t>
      </w:r>
      <w:r w:rsidR="009F0188">
        <w:rPr>
          <w:rFonts w:asciiTheme="majorHAnsi" w:hAnsiTheme="majorHAnsi" w:cstheme="majorHAnsi"/>
          <w:sz w:val="24"/>
          <w:szCs w:val="24"/>
        </w:rPr>
        <w:t>, or children and young people with continuing healthcare provision</w:t>
      </w:r>
      <w:r w:rsidRPr="007F5623">
        <w:rPr>
          <w:rFonts w:asciiTheme="majorHAnsi" w:hAnsiTheme="majorHAnsi" w:cstheme="majorHAnsi"/>
          <w:sz w:val="24"/>
          <w:szCs w:val="24"/>
        </w:rPr>
        <w:t xml:space="preserve">. It is likely that all of these children will have additional support to access education and the school building, but at present </w:t>
      </w:r>
      <w:r w:rsidR="007F5623">
        <w:rPr>
          <w:rFonts w:asciiTheme="majorHAnsi" w:hAnsiTheme="majorHAnsi" w:cstheme="majorHAnsi"/>
          <w:sz w:val="24"/>
          <w:szCs w:val="24"/>
        </w:rPr>
        <w:t xml:space="preserve">these data sets are not linked to a unified SEND data collection approach. </w:t>
      </w:r>
    </w:p>
    <w:p w14:paraId="482A14D5" w14:textId="2F24C589" w:rsidR="009D20B5" w:rsidRPr="00056CBC" w:rsidRDefault="00DD2E2D" w:rsidP="009D20B5">
      <w:pPr>
        <w:rPr>
          <w:rFonts w:asciiTheme="majorHAnsi" w:hAnsiTheme="majorHAnsi" w:cstheme="majorHAnsi"/>
          <w:b/>
          <w:sz w:val="24"/>
          <w:szCs w:val="24"/>
        </w:rPr>
      </w:pPr>
      <w:r>
        <w:rPr>
          <w:rFonts w:asciiTheme="majorHAnsi" w:hAnsiTheme="majorHAnsi" w:cstheme="majorHAnsi"/>
          <w:b/>
          <w:sz w:val="24"/>
          <w:szCs w:val="24"/>
        </w:rPr>
        <w:t>R</w:t>
      </w:r>
      <w:r w:rsidR="009D20B5" w:rsidRPr="00056CBC">
        <w:rPr>
          <w:rFonts w:asciiTheme="majorHAnsi" w:hAnsiTheme="majorHAnsi" w:cstheme="majorHAnsi"/>
          <w:b/>
          <w:sz w:val="24"/>
          <w:szCs w:val="24"/>
        </w:rPr>
        <w:t xml:space="preserve">ecommendation: </w:t>
      </w:r>
      <w:r w:rsidR="009D20B5">
        <w:rPr>
          <w:rFonts w:asciiTheme="majorHAnsi" w:hAnsiTheme="majorHAnsi" w:cstheme="majorHAnsi"/>
          <w:b/>
          <w:sz w:val="24"/>
          <w:szCs w:val="24"/>
        </w:rPr>
        <w:t xml:space="preserve">To </w:t>
      </w:r>
      <w:r w:rsidR="009D20B5" w:rsidRPr="00056CBC">
        <w:rPr>
          <w:rFonts w:asciiTheme="majorHAnsi" w:hAnsiTheme="majorHAnsi" w:cstheme="majorHAnsi"/>
          <w:b/>
          <w:sz w:val="24"/>
          <w:szCs w:val="24"/>
        </w:rPr>
        <w:t xml:space="preserve">collect the NHS number of children and young people with EHCP and SEN-Support. This will substantially increase the opportunities for the SEND Improvement Board to understand and respond to systematic challenges linked to health care access and health outcomes. </w:t>
      </w:r>
    </w:p>
    <w:p w14:paraId="116E02C7" w14:textId="77777777" w:rsidR="009D20B5" w:rsidRPr="00FC0233" w:rsidRDefault="009D20B5" w:rsidP="009D20B5">
      <w:pPr>
        <w:rPr>
          <w:rFonts w:asciiTheme="majorHAnsi" w:hAnsiTheme="majorHAnsi" w:cstheme="majorHAnsi"/>
          <w:sz w:val="24"/>
        </w:rPr>
      </w:pPr>
      <w:r w:rsidRPr="00FC0233">
        <w:rPr>
          <w:rFonts w:asciiTheme="majorHAnsi" w:hAnsiTheme="majorHAnsi" w:cstheme="majorHAnsi"/>
          <w:sz w:val="24"/>
        </w:rPr>
        <w:t>In interviews parents often spoke of positive experiences of the specialist teams who works with their children, they spoke often about communication and trust. In particular, parents were likely to report positive experiences if they felt list</w:t>
      </w:r>
      <w:r>
        <w:rPr>
          <w:rFonts w:asciiTheme="majorHAnsi" w:hAnsiTheme="majorHAnsi" w:cstheme="majorHAnsi"/>
          <w:sz w:val="24"/>
        </w:rPr>
        <w:t xml:space="preserve">ened to. The play team was </w:t>
      </w:r>
      <w:r w:rsidRPr="00FC0233">
        <w:rPr>
          <w:rFonts w:asciiTheme="majorHAnsi" w:hAnsiTheme="majorHAnsi" w:cstheme="majorHAnsi"/>
          <w:sz w:val="24"/>
        </w:rPr>
        <w:t xml:space="preserve">positively mentioned, as was the learning disability nurse, though one parent was surprised that not all </w:t>
      </w:r>
      <w:r w:rsidRPr="00FC0233">
        <w:rPr>
          <w:rFonts w:asciiTheme="majorHAnsi" w:hAnsiTheme="majorHAnsi" w:cstheme="majorHAnsi"/>
          <w:sz w:val="24"/>
        </w:rPr>
        <w:lastRenderedPageBreak/>
        <w:t>the hospital</w:t>
      </w:r>
      <w:r>
        <w:rPr>
          <w:rFonts w:asciiTheme="majorHAnsi" w:hAnsiTheme="majorHAnsi" w:cstheme="majorHAnsi"/>
          <w:sz w:val="24"/>
        </w:rPr>
        <w:t xml:space="preserve"> teams knew about this resource. In this case, it created barriers in the young person accessing physical health care tests. </w:t>
      </w:r>
      <w:r w:rsidRPr="00FC0233">
        <w:rPr>
          <w:rFonts w:asciiTheme="majorHAnsi" w:hAnsiTheme="majorHAnsi" w:cstheme="majorHAnsi"/>
          <w:sz w:val="24"/>
        </w:rPr>
        <w:t xml:space="preserve"> </w:t>
      </w:r>
    </w:p>
    <w:p w14:paraId="446D4623" w14:textId="7018A79C" w:rsidR="009D20B5" w:rsidRPr="00FC0233" w:rsidRDefault="009D20B5" w:rsidP="009D20B5">
      <w:pPr>
        <w:rPr>
          <w:rFonts w:asciiTheme="majorHAnsi" w:hAnsiTheme="majorHAnsi" w:cstheme="majorHAnsi"/>
          <w:b/>
          <w:sz w:val="24"/>
        </w:rPr>
      </w:pPr>
      <w:r>
        <w:rPr>
          <w:rFonts w:asciiTheme="majorHAnsi" w:hAnsiTheme="majorHAnsi" w:cstheme="majorHAnsi"/>
          <w:b/>
          <w:sz w:val="24"/>
        </w:rPr>
        <w:t>Recommendation: T</w:t>
      </w:r>
      <w:r w:rsidRPr="00FC0233">
        <w:rPr>
          <w:rFonts w:asciiTheme="majorHAnsi" w:hAnsiTheme="majorHAnsi" w:cstheme="majorHAnsi"/>
          <w:b/>
          <w:sz w:val="24"/>
        </w:rPr>
        <w:t xml:space="preserve">o ensure that all hospital departments are aware of specialist provision within the trust, such as the play team and the learning disability nurse.  </w:t>
      </w:r>
    </w:p>
    <w:p w14:paraId="2F288F3F" w14:textId="77777777" w:rsidR="009D20B5" w:rsidRDefault="009D20B5" w:rsidP="009D20B5">
      <w:pPr>
        <w:pStyle w:val="Heading2"/>
        <w:rPr>
          <w:rFonts w:cstheme="majorHAnsi"/>
          <w:sz w:val="24"/>
        </w:rPr>
      </w:pPr>
      <w:bookmarkStart w:id="30" w:name="_Toc58575090"/>
      <w:r>
        <w:rPr>
          <w:rFonts w:cstheme="majorHAnsi"/>
          <w:sz w:val="24"/>
        </w:rPr>
        <w:t>Early Help</w:t>
      </w:r>
      <w:bookmarkEnd w:id="30"/>
    </w:p>
    <w:p w14:paraId="420C3842" w14:textId="77777777" w:rsidR="009D20B5" w:rsidRDefault="009D20B5" w:rsidP="009D20B5">
      <w:pPr>
        <w:rPr>
          <w:rFonts w:asciiTheme="majorHAnsi" w:hAnsiTheme="majorHAnsi" w:cstheme="majorHAnsi"/>
          <w:sz w:val="24"/>
        </w:rPr>
      </w:pPr>
      <w:r>
        <w:rPr>
          <w:rFonts w:asciiTheme="majorHAnsi" w:hAnsiTheme="majorHAnsi" w:cstheme="majorHAnsi"/>
          <w:sz w:val="24"/>
        </w:rPr>
        <w:t>The school wellbeing service offered early intervention and mental health support in York schools and FE settings</w:t>
      </w:r>
      <w:r w:rsidR="00174774">
        <w:rPr>
          <w:rFonts w:asciiTheme="majorHAnsi" w:hAnsiTheme="majorHAnsi" w:cstheme="majorHAnsi"/>
          <w:sz w:val="24"/>
        </w:rPr>
        <w:t xml:space="preserve"> around anxiety, low mood and school capacity</w:t>
      </w:r>
      <w:r>
        <w:rPr>
          <w:rFonts w:asciiTheme="majorHAnsi" w:hAnsiTheme="majorHAnsi" w:cstheme="majorHAnsi"/>
          <w:sz w:val="24"/>
        </w:rPr>
        <w:t xml:space="preserve">. </w:t>
      </w:r>
      <w:r w:rsidR="00174774">
        <w:rPr>
          <w:rFonts w:asciiTheme="majorHAnsi" w:hAnsiTheme="majorHAnsi" w:cstheme="majorHAnsi"/>
          <w:sz w:val="24"/>
        </w:rPr>
        <w:t xml:space="preserve">It is jointly commissioned by CYC and Vale of York CCG. </w:t>
      </w:r>
      <w:r>
        <w:rPr>
          <w:rFonts w:asciiTheme="majorHAnsi" w:hAnsiTheme="majorHAnsi" w:cstheme="majorHAnsi"/>
          <w:sz w:val="24"/>
        </w:rPr>
        <w:t xml:space="preserve">The service provides whole setting support, information and advice to families, mental health skills workshops with pupils, as well as individual support for individual children and young people. </w:t>
      </w:r>
    </w:p>
    <w:p w14:paraId="69D703AE" w14:textId="673ADA9D" w:rsidR="009D20B5" w:rsidRDefault="009D20B5" w:rsidP="009D20B5">
      <w:pPr>
        <w:rPr>
          <w:rFonts w:asciiTheme="majorHAnsi" w:hAnsiTheme="majorHAnsi" w:cstheme="majorHAnsi"/>
          <w:sz w:val="24"/>
        </w:rPr>
      </w:pPr>
      <w:r>
        <w:rPr>
          <w:rFonts w:asciiTheme="majorHAnsi" w:hAnsiTheme="majorHAnsi" w:cstheme="majorHAnsi"/>
          <w:sz w:val="24"/>
        </w:rPr>
        <w:t xml:space="preserve">The service works in part, but not exclusively, with children and young people with </w:t>
      </w:r>
      <w:r w:rsidR="000C62BF">
        <w:rPr>
          <w:rFonts w:asciiTheme="majorHAnsi" w:hAnsiTheme="majorHAnsi" w:cstheme="majorHAnsi"/>
          <w:sz w:val="24"/>
        </w:rPr>
        <w:t>SEN-support</w:t>
      </w:r>
      <w:r>
        <w:rPr>
          <w:rFonts w:asciiTheme="majorHAnsi" w:hAnsiTheme="majorHAnsi" w:cstheme="majorHAnsi"/>
          <w:sz w:val="24"/>
        </w:rPr>
        <w:t xml:space="preserve"> and education, health, and care plans.  The annual report does not detail the proportion of children and young people with an identified </w:t>
      </w:r>
      <w:r w:rsidR="00D11AAE">
        <w:rPr>
          <w:rFonts w:asciiTheme="majorHAnsi" w:hAnsiTheme="majorHAnsi" w:cstheme="majorHAnsi"/>
          <w:sz w:val="24"/>
        </w:rPr>
        <w:t>SEND</w:t>
      </w:r>
      <w:r>
        <w:rPr>
          <w:rFonts w:asciiTheme="majorHAnsi" w:hAnsiTheme="majorHAnsi" w:cstheme="majorHAnsi"/>
          <w:sz w:val="24"/>
        </w:rPr>
        <w:t xml:space="preserve">. </w:t>
      </w:r>
    </w:p>
    <w:p w14:paraId="78B523E4" w14:textId="77777777" w:rsidR="009D20B5" w:rsidRDefault="009D20B5" w:rsidP="009D20B5">
      <w:pPr>
        <w:rPr>
          <w:rFonts w:asciiTheme="majorHAnsi" w:hAnsiTheme="majorHAnsi" w:cstheme="majorHAnsi"/>
          <w:sz w:val="24"/>
        </w:rPr>
      </w:pPr>
      <w:r>
        <w:rPr>
          <w:rFonts w:asciiTheme="majorHAnsi" w:hAnsiTheme="majorHAnsi" w:cstheme="majorHAnsi"/>
          <w:sz w:val="24"/>
        </w:rPr>
        <w:t xml:space="preserve">In 2019/20 the service supported 462 primary school age pupils; 30% had a primary need linked to emotional regulation, 26% had a primary need of anxiety, 11% had a primary need linked to neurodiversity such as ASD, ADHD, or Learning Disability. </w:t>
      </w:r>
    </w:p>
    <w:p w14:paraId="582EE16E" w14:textId="77777777" w:rsidR="009D20B5" w:rsidRDefault="009D20B5" w:rsidP="009D20B5">
      <w:pPr>
        <w:rPr>
          <w:rFonts w:asciiTheme="majorHAnsi" w:hAnsiTheme="majorHAnsi" w:cstheme="majorHAnsi"/>
          <w:sz w:val="24"/>
        </w:rPr>
      </w:pPr>
      <w:r>
        <w:rPr>
          <w:rFonts w:asciiTheme="majorHAnsi" w:hAnsiTheme="majorHAnsi" w:cstheme="majorHAnsi"/>
          <w:sz w:val="24"/>
        </w:rPr>
        <w:t xml:space="preserve">In the same year, the service supported 414 secondary school age pupils, 38% had a primary need linked to anxiety, 18% had a primary need linked to low mood, and 15% linked to emotional regulation. </w:t>
      </w:r>
    </w:p>
    <w:p w14:paraId="198B1FB1" w14:textId="77777777" w:rsidR="009D20B5" w:rsidRDefault="009D20B5" w:rsidP="009D20B5">
      <w:pPr>
        <w:rPr>
          <w:rFonts w:asciiTheme="majorHAnsi" w:hAnsiTheme="majorHAnsi" w:cstheme="majorHAnsi"/>
          <w:sz w:val="24"/>
        </w:rPr>
      </w:pPr>
      <w:r>
        <w:rPr>
          <w:rFonts w:asciiTheme="majorHAnsi" w:hAnsiTheme="majorHAnsi" w:cstheme="majorHAnsi"/>
          <w:sz w:val="24"/>
        </w:rPr>
        <w:t xml:space="preserve">The feedback shows that the service is highly valued by young people, parents, and school staff alike. In particular, 65% of children and young people reported feeling better able to cope in school. </w:t>
      </w:r>
    </w:p>
    <w:p w14:paraId="094B7DE7" w14:textId="77777777" w:rsidR="009D20B5" w:rsidRDefault="009D20B5" w:rsidP="009D20B5">
      <w:pPr>
        <w:rPr>
          <w:rFonts w:asciiTheme="majorHAnsi" w:hAnsiTheme="majorHAnsi" w:cstheme="majorHAnsi"/>
          <w:sz w:val="24"/>
        </w:rPr>
      </w:pPr>
      <w:r>
        <w:rPr>
          <w:rFonts w:asciiTheme="majorHAnsi" w:hAnsiTheme="majorHAnsi" w:cstheme="majorHAnsi"/>
          <w:sz w:val="24"/>
        </w:rPr>
        <w:t>The service has an embedded qualitative and quantitative feedback process with children and young people, parents, and schools, to inform the annual evaluation. This feedback process is better developed an</w:t>
      </w:r>
      <w:r w:rsidR="0056031C">
        <w:rPr>
          <w:rFonts w:asciiTheme="majorHAnsi" w:hAnsiTheme="majorHAnsi" w:cstheme="majorHAnsi"/>
          <w:sz w:val="24"/>
        </w:rPr>
        <w:t>d</w:t>
      </w:r>
      <w:r>
        <w:rPr>
          <w:rFonts w:asciiTheme="majorHAnsi" w:hAnsiTheme="majorHAnsi" w:cstheme="majorHAnsi"/>
          <w:sz w:val="24"/>
        </w:rPr>
        <w:t xml:space="preserve"> embedded than in other SEND support services in York and is the first step to a conversation between the service and its stakeholders.</w:t>
      </w:r>
    </w:p>
    <w:p w14:paraId="3029CE07" w14:textId="77777777" w:rsidR="009D20B5" w:rsidRDefault="009D20B5" w:rsidP="009D20B5">
      <w:pPr>
        <w:rPr>
          <w:rFonts w:asciiTheme="majorHAnsi" w:hAnsiTheme="majorHAnsi" w:cstheme="majorHAnsi"/>
          <w:sz w:val="24"/>
        </w:rPr>
      </w:pPr>
      <w:r w:rsidRPr="00A61B73">
        <w:rPr>
          <w:rFonts w:asciiTheme="majorHAnsi" w:hAnsiTheme="majorHAnsi" w:cstheme="majorHAnsi"/>
          <w:sz w:val="24"/>
        </w:rPr>
        <w:t xml:space="preserve">In interviews parents reported valuing consistent staff members as this builds trust and better communication. Additionally parents were more likely to relay a positive experience when they felt there was good communication and trust, even if the outcome could have been viewed as negative i.e. a school placement breaking down. </w:t>
      </w:r>
    </w:p>
    <w:p w14:paraId="4ED1A47B" w14:textId="10B78851" w:rsidR="009D20B5" w:rsidRDefault="00DD2E2D" w:rsidP="009D20B5">
      <w:pPr>
        <w:rPr>
          <w:rFonts w:asciiTheme="majorHAnsi" w:hAnsiTheme="majorHAnsi" w:cstheme="majorHAnsi"/>
          <w:b/>
          <w:sz w:val="24"/>
        </w:rPr>
      </w:pPr>
      <w:r>
        <w:rPr>
          <w:rFonts w:asciiTheme="majorHAnsi" w:hAnsiTheme="majorHAnsi" w:cstheme="majorHAnsi"/>
          <w:b/>
          <w:sz w:val="24"/>
        </w:rPr>
        <w:t>R</w:t>
      </w:r>
      <w:r w:rsidR="009D20B5" w:rsidRPr="00F35DA4">
        <w:rPr>
          <w:rFonts w:asciiTheme="majorHAnsi" w:hAnsiTheme="majorHAnsi" w:cstheme="majorHAnsi"/>
          <w:b/>
          <w:sz w:val="24"/>
        </w:rPr>
        <w:t>ecommendation: For the School Wellbeing Service to support other service areas</w:t>
      </w:r>
      <w:r w:rsidR="009D20B5">
        <w:rPr>
          <w:rFonts w:asciiTheme="majorHAnsi" w:hAnsiTheme="majorHAnsi" w:cstheme="majorHAnsi"/>
          <w:b/>
          <w:sz w:val="24"/>
        </w:rPr>
        <w:t xml:space="preserve"> to embed a similar feedback loop for children and young people with SEND and their families. </w:t>
      </w:r>
    </w:p>
    <w:p w14:paraId="5B9FD687" w14:textId="77777777" w:rsidR="009D20B5" w:rsidRPr="00A61B73" w:rsidRDefault="009D20B5" w:rsidP="009D20B5">
      <w:pPr>
        <w:rPr>
          <w:rFonts w:asciiTheme="majorHAnsi" w:hAnsiTheme="majorHAnsi" w:cstheme="majorHAnsi"/>
          <w:sz w:val="24"/>
        </w:rPr>
      </w:pPr>
      <w:r w:rsidRPr="00A61B73">
        <w:rPr>
          <w:rFonts w:asciiTheme="majorHAnsi" w:hAnsiTheme="majorHAnsi" w:cstheme="majorHAnsi"/>
          <w:sz w:val="24"/>
        </w:rPr>
        <w:t xml:space="preserve">This is important because in interview there was an impression of a pattern of parents having many months of concern before meeting with the school. One parent said she ‘didn’t want to rock the boat’, another expressed uncertainty about where to start. Only in extreme circumstances did parents seem to raise issues beyond the school. There was an impression from parents that they did not feel enabled to have a conversation about their concerns, or confident that their voice would be heard. Two parents in particular voiced the view that they were ‘on their own’ or that professionals ‘closed ranks’.  None of the parents mentioned the </w:t>
      </w:r>
      <w:r w:rsidRPr="00A61B73">
        <w:rPr>
          <w:rFonts w:asciiTheme="majorHAnsi" w:hAnsiTheme="majorHAnsi" w:cstheme="majorHAnsi"/>
          <w:sz w:val="24"/>
        </w:rPr>
        <w:lastRenderedPageBreak/>
        <w:t xml:space="preserve">SENDIASS (information, advice, and support service). Some parents were part of a parent forum or support group, but did not particularly view this as an advocacy opportunity.  </w:t>
      </w:r>
    </w:p>
    <w:p w14:paraId="1DF5DCB3" w14:textId="5A96FDB8" w:rsidR="009D20B5" w:rsidRDefault="00DD2E2D" w:rsidP="009D20B5">
      <w:pPr>
        <w:rPr>
          <w:rFonts w:asciiTheme="majorHAnsi" w:hAnsiTheme="majorHAnsi" w:cstheme="majorHAnsi"/>
          <w:b/>
          <w:sz w:val="24"/>
        </w:rPr>
      </w:pPr>
      <w:r>
        <w:rPr>
          <w:rFonts w:asciiTheme="majorHAnsi" w:hAnsiTheme="majorHAnsi" w:cstheme="majorHAnsi"/>
          <w:b/>
          <w:sz w:val="24"/>
        </w:rPr>
        <w:t>R</w:t>
      </w:r>
      <w:r w:rsidR="009D20B5" w:rsidRPr="00A61B73">
        <w:rPr>
          <w:rFonts w:asciiTheme="majorHAnsi" w:hAnsiTheme="majorHAnsi" w:cstheme="majorHAnsi"/>
          <w:b/>
          <w:sz w:val="24"/>
        </w:rPr>
        <w:t>ecommendation: For the SEND improvement board to creatively consider how it might engage parents in routine conversations about their experiences of education for their child, this includes par</w:t>
      </w:r>
      <w:r w:rsidR="000C62BF">
        <w:rPr>
          <w:rFonts w:asciiTheme="majorHAnsi" w:hAnsiTheme="majorHAnsi" w:cstheme="majorHAnsi"/>
          <w:b/>
          <w:sz w:val="24"/>
        </w:rPr>
        <w:t>ents of children who have EHCP, SEN-support</w:t>
      </w:r>
      <w:r w:rsidR="009D20B5" w:rsidRPr="00A61B73">
        <w:rPr>
          <w:rFonts w:asciiTheme="majorHAnsi" w:hAnsiTheme="majorHAnsi" w:cstheme="majorHAnsi"/>
          <w:b/>
          <w:sz w:val="24"/>
        </w:rPr>
        <w:t xml:space="preserve">, </w:t>
      </w:r>
      <w:r w:rsidR="00174774">
        <w:rPr>
          <w:rFonts w:asciiTheme="majorHAnsi" w:hAnsiTheme="majorHAnsi" w:cstheme="majorHAnsi"/>
          <w:b/>
          <w:sz w:val="24"/>
        </w:rPr>
        <w:t xml:space="preserve">or who have concerns regarding their children. </w:t>
      </w:r>
      <w:r w:rsidR="009D20B5" w:rsidRPr="00A61B73">
        <w:rPr>
          <w:rFonts w:asciiTheme="majorHAnsi" w:hAnsiTheme="majorHAnsi" w:cstheme="majorHAnsi"/>
          <w:b/>
          <w:sz w:val="24"/>
        </w:rPr>
        <w:t>Ideally this would be developed in coproduction with parents, and should not be exclusive to one topic i.e. an EHCP review.</w:t>
      </w:r>
    </w:p>
    <w:p w14:paraId="072E2A00" w14:textId="77777777" w:rsidR="009D20B5" w:rsidRDefault="009D20B5" w:rsidP="009D20B5">
      <w:pPr>
        <w:pStyle w:val="Heading2"/>
        <w:rPr>
          <w:rFonts w:cstheme="majorHAnsi"/>
          <w:sz w:val="24"/>
        </w:rPr>
      </w:pPr>
      <w:bookmarkStart w:id="31" w:name="_Toc58575091"/>
      <w:r>
        <w:rPr>
          <w:rFonts w:cstheme="majorHAnsi"/>
          <w:sz w:val="24"/>
        </w:rPr>
        <w:t>Secondary Mental Health Care</w:t>
      </w:r>
      <w:bookmarkEnd w:id="31"/>
      <w:r>
        <w:rPr>
          <w:rFonts w:cstheme="majorHAnsi"/>
          <w:sz w:val="24"/>
        </w:rPr>
        <w:t xml:space="preserve"> </w:t>
      </w:r>
    </w:p>
    <w:p w14:paraId="5F6C9C8B" w14:textId="0896FD4B" w:rsidR="009D20B5" w:rsidRPr="00545AB3" w:rsidRDefault="009D20B5" w:rsidP="009D20B5">
      <w:pPr>
        <w:tabs>
          <w:tab w:val="left" w:pos="1365"/>
        </w:tabs>
        <w:rPr>
          <w:rFonts w:asciiTheme="majorHAnsi" w:hAnsiTheme="majorHAnsi" w:cstheme="majorHAnsi"/>
          <w:sz w:val="24"/>
        </w:rPr>
      </w:pPr>
      <w:r>
        <w:rPr>
          <w:rFonts w:asciiTheme="majorHAnsi" w:hAnsiTheme="majorHAnsi" w:cstheme="majorHAnsi"/>
          <w:sz w:val="24"/>
        </w:rPr>
        <w:t>A</w:t>
      </w:r>
      <w:r w:rsidR="00174774">
        <w:rPr>
          <w:rFonts w:asciiTheme="majorHAnsi" w:hAnsiTheme="majorHAnsi" w:cstheme="majorHAnsi"/>
          <w:sz w:val="24"/>
        </w:rPr>
        <w:t xml:space="preserve"> </w:t>
      </w:r>
      <w:r w:rsidRPr="00545AB3">
        <w:rPr>
          <w:rFonts w:asciiTheme="majorHAnsi" w:hAnsiTheme="majorHAnsi" w:cstheme="majorHAnsi"/>
          <w:sz w:val="24"/>
        </w:rPr>
        <w:t>clear theme in almost all parents’ interviews was the experiences of CAMHS</w:t>
      </w:r>
      <w:r w:rsidR="00174774">
        <w:rPr>
          <w:rFonts w:asciiTheme="majorHAnsi" w:hAnsiTheme="majorHAnsi" w:cstheme="majorHAnsi"/>
          <w:sz w:val="24"/>
        </w:rPr>
        <w:t xml:space="preserve"> service at </w:t>
      </w:r>
      <w:r w:rsidRPr="00545AB3">
        <w:rPr>
          <w:rFonts w:asciiTheme="majorHAnsi" w:hAnsiTheme="majorHAnsi" w:cstheme="majorHAnsi"/>
          <w:sz w:val="24"/>
        </w:rPr>
        <w:t xml:space="preserve">Limetrees. Several of the parents were keen to express that the </w:t>
      </w:r>
      <w:r w:rsidR="00174774">
        <w:rPr>
          <w:rFonts w:asciiTheme="majorHAnsi" w:hAnsiTheme="majorHAnsi" w:cstheme="majorHAnsi"/>
          <w:sz w:val="24"/>
        </w:rPr>
        <w:t xml:space="preserve">staff are </w:t>
      </w:r>
      <w:r w:rsidRPr="00545AB3">
        <w:rPr>
          <w:rFonts w:asciiTheme="majorHAnsi" w:hAnsiTheme="majorHAnsi" w:cstheme="majorHAnsi"/>
          <w:sz w:val="24"/>
        </w:rPr>
        <w:t>‘intelligent compassionate professionals’, and that their criticisms were not aimed as individual members of staff. The most immediate challenge presented was the waiting t</w:t>
      </w:r>
      <w:r w:rsidR="00174774">
        <w:rPr>
          <w:rFonts w:asciiTheme="majorHAnsi" w:hAnsiTheme="majorHAnsi" w:cstheme="majorHAnsi"/>
          <w:sz w:val="24"/>
        </w:rPr>
        <w:t xml:space="preserve">ime for assessments for neurodiversity, </w:t>
      </w:r>
      <w:r w:rsidRPr="00545AB3">
        <w:rPr>
          <w:rFonts w:asciiTheme="majorHAnsi" w:hAnsiTheme="majorHAnsi" w:cstheme="majorHAnsi"/>
          <w:sz w:val="24"/>
        </w:rPr>
        <w:t>communication needs, and for</w:t>
      </w:r>
      <w:r w:rsidR="00174774">
        <w:rPr>
          <w:rFonts w:asciiTheme="majorHAnsi" w:hAnsiTheme="majorHAnsi" w:cstheme="majorHAnsi"/>
          <w:sz w:val="24"/>
        </w:rPr>
        <w:t xml:space="preserve"> emotional</w:t>
      </w:r>
      <w:r w:rsidRPr="00545AB3">
        <w:rPr>
          <w:rFonts w:asciiTheme="majorHAnsi" w:hAnsiTheme="majorHAnsi" w:cstheme="majorHAnsi"/>
          <w:sz w:val="24"/>
        </w:rPr>
        <w:t xml:space="preserve"> mental health needs. </w:t>
      </w:r>
    </w:p>
    <w:p w14:paraId="64BE64F9" w14:textId="77777777" w:rsidR="009D20B5" w:rsidRPr="00545AB3" w:rsidRDefault="009D20B5" w:rsidP="009D20B5">
      <w:pPr>
        <w:tabs>
          <w:tab w:val="left" w:pos="1365"/>
        </w:tabs>
        <w:rPr>
          <w:rFonts w:asciiTheme="majorHAnsi" w:hAnsiTheme="majorHAnsi" w:cstheme="majorHAnsi"/>
          <w:sz w:val="24"/>
        </w:rPr>
      </w:pPr>
      <w:r w:rsidRPr="00545AB3">
        <w:rPr>
          <w:rFonts w:asciiTheme="majorHAnsi" w:hAnsiTheme="majorHAnsi" w:cstheme="majorHAnsi"/>
          <w:sz w:val="24"/>
        </w:rPr>
        <w:t>In interview, parents expressed support for the principles of early help, and needs led approach to timely support. Several parents felt strongly that the delay in access to support meant that their child’s wellbeing worsened. Several parents also expressed that other support, such as support from schools and other professionals, was on hold until a</w:t>
      </w:r>
      <w:r w:rsidR="00174774">
        <w:rPr>
          <w:rFonts w:asciiTheme="majorHAnsi" w:hAnsiTheme="majorHAnsi" w:cstheme="majorHAnsi"/>
          <w:sz w:val="24"/>
        </w:rPr>
        <w:t>n assessment has been completed</w:t>
      </w:r>
      <w:r w:rsidRPr="00545AB3">
        <w:rPr>
          <w:rFonts w:asciiTheme="majorHAnsi" w:hAnsiTheme="majorHAnsi" w:cstheme="majorHAnsi"/>
          <w:sz w:val="24"/>
        </w:rPr>
        <w:t xml:space="preserve">, even when it was clear that the child was experiencing significant amounts of distress. </w:t>
      </w:r>
    </w:p>
    <w:p w14:paraId="7734948C" w14:textId="77777777" w:rsidR="009D20B5" w:rsidRPr="00545AB3" w:rsidRDefault="009D20B5" w:rsidP="009D20B5">
      <w:pPr>
        <w:tabs>
          <w:tab w:val="left" w:pos="1365"/>
        </w:tabs>
        <w:rPr>
          <w:rFonts w:asciiTheme="majorHAnsi" w:hAnsiTheme="majorHAnsi" w:cstheme="majorHAnsi"/>
          <w:sz w:val="24"/>
        </w:rPr>
      </w:pPr>
      <w:r w:rsidRPr="00545AB3">
        <w:rPr>
          <w:rFonts w:asciiTheme="majorHAnsi" w:hAnsiTheme="majorHAnsi" w:cstheme="majorHAnsi"/>
          <w:sz w:val="24"/>
        </w:rPr>
        <w:t xml:space="preserve">Many professionals working in the field of SEND, have also expressed strong support for a needs led approach to support, </w:t>
      </w:r>
      <w:r w:rsidR="00174774">
        <w:rPr>
          <w:rFonts w:asciiTheme="majorHAnsi" w:hAnsiTheme="majorHAnsi" w:cstheme="majorHAnsi"/>
          <w:sz w:val="24"/>
        </w:rPr>
        <w:t xml:space="preserve">around social and communication difficulties before and during the waiting period for a neurodiversity assessment. </w:t>
      </w:r>
      <w:r w:rsidRPr="00545AB3">
        <w:rPr>
          <w:rFonts w:asciiTheme="majorHAnsi" w:hAnsiTheme="majorHAnsi" w:cstheme="majorHAnsi"/>
          <w:sz w:val="24"/>
        </w:rPr>
        <w:t>Prof</w:t>
      </w:r>
      <w:r w:rsidR="00174774">
        <w:rPr>
          <w:rFonts w:asciiTheme="majorHAnsi" w:hAnsiTheme="majorHAnsi" w:cstheme="majorHAnsi"/>
          <w:sz w:val="24"/>
        </w:rPr>
        <w:t xml:space="preserve">essionals also express that this </w:t>
      </w:r>
      <w:r w:rsidRPr="00545AB3">
        <w:rPr>
          <w:rFonts w:asciiTheme="majorHAnsi" w:hAnsiTheme="majorHAnsi" w:cstheme="majorHAnsi"/>
          <w:sz w:val="24"/>
        </w:rPr>
        <w:t xml:space="preserve">an issue for the whole SEND system in York, not solely those professionals involved in making a diagnosis. </w:t>
      </w:r>
      <w:r w:rsidR="00174774">
        <w:rPr>
          <w:rFonts w:asciiTheme="majorHAnsi" w:hAnsiTheme="majorHAnsi" w:cstheme="majorHAnsi"/>
          <w:sz w:val="24"/>
        </w:rPr>
        <w:t xml:space="preserve">This issue is currently under review across York and North Yorkshire. </w:t>
      </w:r>
    </w:p>
    <w:p w14:paraId="3733B4DF" w14:textId="4599FBC0" w:rsidR="009D20B5" w:rsidRPr="00545AB3" w:rsidRDefault="009D20B5" w:rsidP="009D20B5">
      <w:pPr>
        <w:tabs>
          <w:tab w:val="left" w:pos="1365"/>
        </w:tabs>
        <w:rPr>
          <w:rFonts w:asciiTheme="majorHAnsi" w:hAnsiTheme="majorHAnsi" w:cstheme="majorHAnsi"/>
          <w:b/>
          <w:sz w:val="24"/>
        </w:rPr>
      </w:pPr>
      <w:r w:rsidRPr="00545AB3">
        <w:rPr>
          <w:rFonts w:asciiTheme="majorHAnsi" w:hAnsiTheme="majorHAnsi" w:cstheme="majorHAnsi"/>
          <w:b/>
          <w:sz w:val="24"/>
        </w:rPr>
        <w:t>Recommendation: To recognise that the long wait time within children’s mental health services remain a significant challenge, but also a challenge that is not quickly fixable. To review the pre-</w:t>
      </w:r>
      <w:r w:rsidR="00174774">
        <w:rPr>
          <w:rFonts w:asciiTheme="majorHAnsi" w:hAnsiTheme="majorHAnsi" w:cstheme="majorHAnsi"/>
          <w:b/>
          <w:sz w:val="24"/>
        </w:rPr>
        <w:t>assessment</w:t>
      </w:r>
      <w:r w:rsidRPr="00545AB3">
        <w:rPr>
          <w:rFonts w:asciiTheme="majorHAnsi" w:hAnsiTheme="majorHAnsi" w:cstheme="majorHAnsi"/>
          <w:b/>
          <w:sz w:val="24"/>
        </w:rPr>
        <w:t xml:space="preserve"> support</w:t>
      </w:r>
      <w:r w:rsidR="00174774">
        <w:rPr>
          <w:rFonts w:asciiTheme="majorHAnsi" w:hAnsiTheme="majorHAnsi" w:cstheme="majorHAnsi"/>
          <w:b/>
          <w:sz w:val="24"/>
        </w:rPr>
        <w:t xml:space="preserve">, </w:t>
      </w:r>
      <w:r w:rsidRPr="00545AB3">
        <w:rPr>
          <w:rFonts w:asciiTheme="majorHAnsi" w:hAnsiTheme="majorHAnsi" w:cstheme="majorHAnsi"/>
          <w:b/>
          <w:sz w:val="24"/>
        </w:rPr>
        <w:t>universal and enhanced school provision, and advice to families. Ideally this should be coproduced with parents and young people who have recent experience of a long wait time for a</w:t>
      </w:r>
      <w:r w:rsidR="00174774">
        <w:rPr>
          <w:rFonts w:asciiTheme="majorHAnsi" w:hAnsiTheme="majorHAnsi" w:cstheme="majorHAnsi"/>
          <w:b/>
          <w:sz w:val="24"/>
        </w:rPr>
        <w:t>n assessment</w:t>
      </w:r>
      <w:r w:rsidRPr="00545AB3">
        <w:rPr>
          <w:rFonts w:asciiTheme="majorHAnsi" w:hAnsiTheme="majorHAnsi" w:cstheme="majorHAnsi"/>
          <w:b/>
          <w:sz w:val="24"/>
        </w:rPr>
        <w:t xml:space="preserve"> and associated specialist support. </w:t>
      </w:r>
    </w:p>
    <w:p w14:paraId="55AEAC26" w14:textId="77777777" w:rsidR="009D20B5" w:rsidRPr="00EB4A49" w:rsidRDefault="009D20B5" w:rsidP="009D20B5">
      <w:pPr>
        <w:rPr>
          <w:rFonts w:asciiTheme="majorHAnsi" w:hAnsiTheme="majorHAnsi" w:cstheme="majorHAnsi"/>
          <w:b/>
          <w:sz w:val="24"/>
          <w:szCs w:val="24"/>
        </w:rPr>
      </w:pPr>
    </w:p>
    <w:p w14:paraId="290EFF2E" w14:textId="77777777" w:rsidR="009D20B5" w:rsidRPr="00771AEF" w:rsidRDefault="009D20B5" w:rsidP="009D20B5">
      <w:pPr>
        <w:pStyle w:val="Heading1"/>
        <w:rPr>
          <w:rFonts w:cstheme="majorHAnsi"/>
          <w:b/>
          <w:sz w:val="24"/>
          <w:szCs w:val="24"/>
        </w:rPr>
      </w:pPr>
      <w:bookmarkStart w:id="32" w:name="_Toc58575092"/>
      <w:r>
        <w:rPr>
          <w:rFonts w:cstheme="majorHAnsi"/>
          <w:b/>
          <w:sz w:val="24"/>
          <w:szCs w:val="24"/>
        </w:rPr>
        <w:t>Social Care</w:t>
      </w:r>
      <w:bookmarkEnd w:id="32"/>
      <w:r>
        <w:rPr>
          <w:rFonts w:cstheme="majorHAnsi"/>
          <w:b/>
          <w:sz w:val="24"/>
          <w:szCs w:val="24"/>
        </w:rPr>
        <w:t xml:space="preserve"> </w:t>
      </w:r>
    </w:p>
    <w:p w14:paraId="3F60453A" w14:textId="77777777" w:rsidR="009D20B5" w:rsidRDefault="009D20B5" w:rsidP="009D20B5">
      <w:pPr>
        <w:rPr>
          <w:rFonts w:asciiTheme="majorHAnsi" w:hAnsiTheme="majorHAnsi" w:cstheme="majorHAnsi"/>
          <w:sz w:val="24"/>
          <w:szCs w:val="24"/>
        </w:rPr>
      </w:pPr>
      <w:r>
        <w:rPr>
          <w:rFonts w:asciiTheme="majorHAnsi" w:hAnsiTheme="majorHAnsi" w:cstheme="majorHAnsi"/>
          <w:sz w:val="24"/>
          <w:szCs w:val="24"/>
        </w:rPr>
        <w:t xml:space="preserve">In total the children’s social care health and disability team support 318 children and young people, of whom 263 have a special educational need or disability; in the main these children are supported with an EHCP. </w:t>
      </w:r>
    </w:p>
    <w:p w14:paraId="6B4CA0C7" w14:textId="77777777" w:rsidR="009D20B5" w:rsidRDefault="009D20B5" w:rsidP="009D20B5">
      <w:pPr>
        <w:rPr>
          <w:rFonts w:asciiTheme="majorHAnsi" w:hAnsiTheme="majorHAnsi" w:cstheme="majorHAnsi"/>
          <w:sz w:val="24"/>
          <w:szCs w:val="24"/>
        </w:rPr>
      </w:pPr>
      <w:r>
        <w:rPr>
          <w:rFonts w:asciiTheme="majorHAnsi" w:hAnsiTheme="majorHAnsi" w:cstheme="majorHAnsi"/>
          <w:sz w:val="24"/>
          <w:szCs w:val="24"/>
        </w:rPr>
        <w:t xml:space="preserve">The service predominantly supports young people with SEND, rather than younger children around half of the caseload is aged 15, 16, and 17 years. </w:t>
      </w:r>
    </w:p>
    <w:p w14:paraId="75C0E2E8" w14:textId="77777777" w:rsidR="009D20B5" w:rsidRDefault="009D20B5" w:rsidP="009D20B5">
      <w:pPr>
        <w:rPr>
          <w:rFonts w:asciiTheme="majorHAnsi" w:hAnsiTheme="majorHAnsi" w:cstheme="majorHAnsi"/>
          <w:sz w:val="24"/>
          <w:szCs w:val="24"/>
        </w:rPr>
      </w:pPr>
      <w:r>
        <w:rPr>
          <w:rFonts w:asciiTheme="majorHAnsi" w:hAnsiTheme="majorHAnsi" w:cstheme="majorHAnsi"/>
          <w:sz w:val="24"/>
          <w:szCs w:val="24"/>
        </w:rPr>
        <w:t xml:space="preserve"> 57% of the SEND caseload receive the early help interventions of a 100 hours short breaks provision and do not have a social worker. Younger children are slightly more likely to have early help provision and older children slightly more likely to have a social worker. </w:t>
      </w:r>
    </w:p>
    <w:p w14:paraId="03CDDECA" w14:textId="77777777" w:rsidR="009D20B5" w:rsidRDefault="009D20B5" w:rsidP="009D20B5">
      <w:pPr>
        <w:rPr>
          <w:rFonts w:asciiTheme="majorHAnsi" w:hAnsiTheme="majorHAnsi" w:cstheme="majorHAnsi"/>
          <w:sz w:val="24"/>
          <w:szCs w:val="24"/>
        </w:rPr>
      </w:pPr>
      <w:r>
        <w:rPr>
          <w:noProof/>
          <w:lang w:eastAsia="en-GB"/>
        </w:rPr>
        <w:lastRenderedPageBreak/>
        <w:drawing>
          <wp:inline distT="0" distB="0" distL="0" distR="0" wp14:anchorId="602755C4" wp14:editId="60121CF6">
            <wp:extent cx="5560060" cy="3065618"/>
            <wp:effectExtent l="0" t="0" r="254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E88C48" w14:textId="0514F935" w:rsidR="009D20B5" w:rsidRDefault="009D20B5" w:rsidP="009D20B5">
      <w:pPr>
        <w:rPr>
          <w:rFonts w:asciiTheme="majorHAnsi" w:hAnsiTheme="majorHAnsi" w:cstheme="majorHAnsi"/>
          <w:sz w:val="24"/>
          <w:szCs w:val="24"/>
        </w:rPr>
      </w:pPr>
      <w:r>
        <w:rPr>
          <w:rFonts w:asciiTheme="majorHAnsi" w:hAnsiTheme="majorHAnsi" w:cstheme="majorHAnsi"/>
          <w:sz w:val="24"/>
          <w:szCs w:val="24"/>
        </w:rPr>
        <w:t>The ‘100 hours provision’ is available for children and young peopl</w:t>
      </w:r>
      <w:r w:rsidR="00911F35">
        <w:rPr>
          <w:rFonts w:asciiTheme="majorHAnsi" w:hAnsiTheme="majorHAnsi" w:cstheme="majorHAnsi"/>
          <w:sz w:val="24"/>
          <w:szCs w:val="24"/>
        </w:rPr>
        <w:t>e with SEND</w:t>
      </w:r>
      <w:r>
        <w:rPr>
          <w:rFonts w:asciiTheme="majorHAnsi" w:hAnsiTheme="majorHAnsi" w:cstheme="majorHAnsi"/>
          <w:sz w:val="24"/>
          <w:szCs w:val="24"/>
        </w:rPr>
        <w:t xml:space="preserve">, and some other groups, without a formalised assessment by a social worker. These children and young people will be able to access roughly two hours short breaks provision each week, and will not have a social worker. The provision can be used creatively and flexibly by families to support the young person to achieve their development outcomes and to access things such as social and support groups.  </w:t>
      </w:r>
    </w:p>
    <w:p w14:paraId="735A4FAA" w14:textId="77777777" w:rsidR="009D20B5" w:rsidRDefault="009D20B5" w:rsidP="009D20B5">
      <w:pPr>
        <w:rPr>
          <w:rFonts w:asciiTheme="majorHAnsi" w:hAnsiTheme="majorHAnsi" w:cstheme="majorHAnsi"/>
          <w:sz w:val="24"/>
          <w:szCs w:val="24"/>
        </w:rPr>
      </w:pPr>
      <w:r>
        <w:rPr>
          <w:rFonts w:asciiTheme="majorHAnsi" w:hAnsiTheme="majorHAnsi" w:cstheme="majorHAnsi"/>
          <w:sz w:val="24"/>
          <w:szCs w:val="24"/>
        </w:rPr>
        <w:t>Whilst there is widespread support for this low level flexible social care input, there is a</w:t>
      </w:r>
      <w:r w:rsidR="0056031C">
        <w:rPr>
          <w:rFonts w:asciiTheme="majorHAnsi" w:hAnsiTheme="majorHAnsi" w:cstheme="majorHAnsi"/>
          <w:sz w:val="24"/>
          <w:szCs w:val="24"/>
        </w:rPr>
        <w:t>lso</w:t>
      </w:r>
      <w:r>
        <w:rPr>
          <w:rFonts w:asciiTheme="majorHAnsi" w:hAnsiTheme="majorHAnsi" w:cstheme="majorHAnsi"/>
          <w:sz w:val="24"/>
          <w:szCs w:val="24"/>
        </w:rPr>
        <w:t xml:space="preserve"> recognition among professiona</w:t>
      </w:r>
      <w:r w:rsidR="0056031C">
        <w:rPr>
          <w:rFonts w:asciiTheme="majorHAnsi" w:hAnsiTheme="majorHAnsi" w:cstheme="majorHAnsi"/>
          <w:sz w:val="24"/>
          <w:szCs w:val="24"/>
        </w:rPr>
        <w:t>ls that there is no</w:t>
      </w:r>
      <w:r>
        <w:rPr>
          <w:rFonts w:asciiTheme="majorHAnsi" w:hAnsiTheme="majorHAnsi" w:cstheme="majorHAnsi"/>
          <w:sz w:val="24"/>
          <w:szCs w:val="24"/>
        </w:rPr>
        <w:t xml:space="preserve"> standardised outcomes capture or review mechanism in place. At present, it is not clear who is accountable for reporting on how the 100 hours provision has been used in the previous year, and which forum should be used to agree how the provision should be used in the upcoming year. </w:t>
      </w:r>
    </w:p>
    <w:p w14:paraId="6AAF1EB9" w14:textId="77777777" w:rsidR="009D20B5" w:rsidRPr="00B654CE" w:rsidRDefault="009D20B5" w:rsidP="009D20B5">
      <w:pPr>
        <w:rPr>
          <w:rFonts w:asciiTheme="majorHAnsi" w:hAnsiTheme="majorHAnsi" w:cstheme="majorHAnsi"/>
          <w:sz w:val="24"/>
          <w:szCs w:val="24"/>
        </w:rPr>
      </w:pPr>
      <w:r w:rsidRPr="00B654CE">
        <w:rPr>
          <w:rFonts w:asciiTheme="majorHAnsi" w:hAnsiTheme="majorHAnsi" w:cstheme="majorHAnsi"/>
          <w:sz w:val="24"/>
          <w:szCs w:val="24"/>
        </w:rPr>
        <w:t xml:space="preserve">When speaking parents who were using social care services like short breaks/ 100 hours or direct payment there was an impression of confusion. One parent said, ‘It’s hard to know what we are entitled to, there is no handbook’, there was also the suggestion of case studies how parents had used 100 hours payments or similar to support their child’s development and independence. </w:t>
      </w:r>
    </w:p>
    <w:p w14:paraId="5B3A83AF" w14:textId="1A3F8733" w:rsidR="009D20B5" w:rsidRDefault="009D20B5" w:rsidP="009D20B5">
      <w:pPr>
        <w:rPr>
          <w:rFonts w:asciiTheme="majorHAnsi" w:hAnsiTheme="majorHAnsi" w:cstheme="majorHAnsi"/>
          <w:sz w:val="24"/>
          <w:szCs w:val="24"/>
        </w:rPr>
      </w:pPr>
      <w:r w:rsidRPr="00B654CE">
        <w:rPr>
          <w:rFonts w:asciiTheme="majorHAnsi" w:hAnsiTheme="majorHAnsi" w:cstheme="majorHAnsi"/>
          <w:b/>
          <w:sz w:val="24"/>
          <w:szCs w:val="24"/>
        </w:rPr>
        <w:t>Recommendation: To implement this suggestion, by coproducing case studies or a children’s social care directory with young people with SEND and their parents. Additionally, for parents and other family members to take a central role in reporting on outcomes and suggesting future ways of using the short breaks</w:t>
      </w:r>
      <w:r w:rsidRPr="00B654CE">
        <w:rPr>
          <w:rFonts w:asciiTheme="majorHAnsi" w:hAnsiTheme="majorHAnsi" w:cstheme="majorHAnsi"/>
          <w:sz w:val="24"/>
          <w:szCs w:val="24"/>
        </w:rPr>
        <w:t xml:space="preserve">.  </w:t>
      </w:r>
    </w:p>
    <w:p w14:paraId="6EDAC0AA" w14:textId="77777777" w:rsidR="009D20B5" w:rsidRPr="00B654CE" w:rsidRDefault="009D20B5" w:rsidP="009D20B5">
      <w:pPr>
        <w:rPr>
          <w:rFonts w:asciiTheme="majorHAnsi" w:hAnsiTheme="majorHAnsi" w:cstheme="majorHAnsi"/>
          <w:sz w:val="24"/>
          <w:szCs w:val="24"/>
        </w:rPr>
      </w:pPr>
    </w:p>
    <w:p w14:paraId="591E2FC5" w14:textId="77777777" w:rsidR="009D20B5" w:rsidRDefault="009D20B5" w:rsidP="009D20B5">
      <w:pPr>
        <w:rPr>
          <w:rFonts w:asciiTheme="majorHAnsi" w:hAnsiTheme="majorHAnsi" w:cstheme="majorHAnsi"/>
          <w:sz w:val="24"/>
          <w:szCs w:val="24"/>
        </w:rPr>
      </w:pPr>
      <w:r>
        <w:rPr>
          <w:rFonts w:asciiTheme="majorHAnsi" w:hAnsiTheme="majorHAnsi" w:cstheme="majorHAnsi"/>
          <w:sz w:val="24"/>
          <w:szCs w:val="24"/>
        </w:rPr>
        <w:t xml:space="preserve">Within the SEND children’s social care cohort, the most prevalent need type was autism. This roughly reflects the wider EHCP cohort. The second most prevalent needs type was a physical disability, these children and young people are significantly overrepresented compared to the wider EHCP cohort.   </w:t>
      </w:r>
    </w:p>
    <w:p w14:paraId="761B75B3" w14:textId="77777777" w:rsidR="009D20B5" w:rsidRDefault="009D20B5" w:rsidP="009D20B5">
      <w:pPr>
        <w:rPr>
          <w:rFonts w:asciiTheme="majorHAnsi" w:hAnsiTheme="majorHAnsi" w:cstheme="majorHAnsi"/>
          <w:sz w:val="24"/>
          <w:szCs w:val="24"/>
        </w:rPr>
      </w:pPr>
      <w:r>
        <w:rPr>
          <w:noProof/>
          <w:lang w:eastAsia="en-GB"/>
        </w:rPr>
        <w:lastRenderedPageBreak/>
        <w:drawing>
          <wp:inline distT="0" distB="0" distL="0" distR="0" wp14:anchorId="31EE04A0" wp14:editId="13344040">
            <wp:extent cx="5731510" cy="2934970"/>
            <wp:effectExtent l="0" t="0" r="2540"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7F4BC4" w14:textId="77777777" w:rsidR="00177DBD" w:rsidRPr="009D20B5" w:rsidRDefault="00177DBD" w:rsidP="009D20B5">
      <w:pPr>
        <w:rPr>
          <w:rFonts w:asciiTheme="majorHAnsi" w:hAnsiTheme="majorHAnsi" w:cstheme="majorHAnsi"/>
          <w:sz w:val="24"/>
          <w:szCs w:val="24"/>
        </w:rPr>
      </w:pPr>
    </w:p>
    <w:p w14:paraId="2C8A5BDF" w14:textId="77777777" w:rsidR="00177DBD" w:rsidRPr="00EB4A49" w:rsidRDefault="00177DBD">
      <w:pPr>
        <w:rPr>
          <w:rFonts w:asciiTheme="majorHAnsi" w:hAnsiTheme="majorHAnsi" w:cstheme="majorHAnsi"/>
          <w:b/>
          <w:sz w:val="24"/>
          <w:szCs w:val="24"/>
        </w:rPr>
      </w:pPr>
    </w:p>
    <w:p w14:paraId="52F3404B" w14:textId="77777777" w:rsidR="00151424" w:rsidRPr="00D20288" w:rsidRDefault="00386B14" w:rsidP="00D20288">
      <w:pPr>
        <w:pStyle w:val="Heading1"/>
        <w:rPr>
          <w:rFonts w:cstheme="majorHAnsi"/>
          <w:b/>
          <w:sz w:val="24"/>
          <w:szCs w:val="24"/>
        </w:rPr>
      </w:pPr>
      <w:bookmarkStart w:id="33" w:name="_Toc58575093"/>
      <w:r>
        <w:rPr>
          <w:rFonts w:cstheme="majorHAnsi"/>
          <w:b/>
          <w:sz w:val="24"/>
          <w:szCs w:val="24"/>
        </w:rPr>
        <w:t xml:space="preserve">Children, Young People and </w:t>
      </w:r>
      <w:r w:rsidR="00151424">
        <w:rPr>
          <w:rFonts w:cstheme="majorHAnsi"/>
          <w:b/>
          <w:sz w:val="24"/>
          <w:szCs w:val="24"/>
        </w:rPr>
        <w:t xml:space="preserve">Parent </w:t>
      </w:r>
      <w:r w:rsidR="00177DBD" w:rsidRPr="00EB4A49">
        <w:rPr>
          <w:rFonts w:cstheme="majorHAnsi"/>
          <w:b/>
          <w:sz w:val="24"/>
          <w:szCs w:val="24"/>
        </w:rPr>
        <w:t>Voice</w:t>
      </w:r>
      <w:bookmarkEnd w:id="33"/>
    </w:p>
    <w:p w14:paraId="58F6659F" w14:textId="77777777" w:rsidR="008413D9" w:rsidRDefault="008413D9" w:rsidP="00151424">
      <w:pPr>
        <w:rPr>
          <w:rFonts w:asciiTheme="majorHAnsi" w:hAnsiTheme="majorHAnsi" w:cstheme="majorHAnsi"/>
          <w:sz w:val="24"/>
          <w:szCs w:val="24"/>
        </w:rPr>
      </w:pPr>
    </w:p>
    <w:p w14:paraId="7FA55F92" w14:textId="77777777" w:rsidR="00386B14" w:rsidRDefault="00386B14" w:rsidP="009D20B5">
      <w:pPr>
        <w:pStyle w:val="Heading2"/>
        <w:rPr>
          <w:rFonts w:cstheme="majorHAnsi"/>
          <w:sz w:val="24"/>
          <w:szCs w:val="24"/>
        </w:rPr>
      </w:pPr>
      <w:bookmarkStart w:id="34" w:name="_Toc58575094"/>
      <w:r>
        <w:rPr>
          <w:rFonts w:cstheme="majorHAnsi"/>
          <w:sz w:val="24"/>
          <w:szCs w:val="24"/>
        </w:rPr>
        <w:t>Parent interviews</w:t>
      </w:r>
      <w:bookmarkEnd w:id="34"/>
    </w:p>
    <w:p w14:paraId="065069F1" w14:textId="540911E9" w:rsidR="00386B14" w:rsidRPr="00386B14" w:rsidRDefault="00386B14" w:rsidP="00386B14">
      <w:pPr>
        <w:rPr>
          <w:rFonts w:asciiTheme="majorHAnsi" w:hAnsiTheme="majorHAnsi" w:cstheme="majorHAnsi"/>
          <w:sz w:val="24"/>
          <w:szCs w:val="24"/>
        </w:rPr>
      </w:pPr>
      <w:r>
        <w:rPr>
          <w:rFonts w:asciiTheme="majorHAnsi" w:hAnsiTheme="majorHAnsi" w:cstheme="majorHAnsi"/>
          <w:sz w:val="24"/>
          <w:szCs w:val="24"/>
        </w:rPr>
        <w:t>As part of creating this needs assessments, the public health team held parent interviews. Parents were recruited through an advert circulated though mainstream and special parent forums. A total of eight parents of 12 children with SEN</w:t>
      </w:r>
      <w:r w:rsidR="00911F35">
        <w:rPr>
          <w:rFonts w:asciiTheme="majorHAnsi" w:hAnsiTheme="majorHAnsi" w:cstheme="majorHAnsi"/>
          <w:sz w:val="24"/>
          <w:szCs w:val="24"/>
        </w:rPr>
        <w:t>D</w:t>
      </w:r>
      <w:r>
        <w:rPr>
          <w:rFonts w:asciiTheme="majorHAnsi" w:hAnsiTheme="majorHAnsi" w:cstheme="majorHAnsi"/>
          <w:sz w:val="24"/>
          <w:szCs w:val="24"/>
        </w:rPr>
        <w:t xml:space="preserve"> where interviewed in how long </w:t>
      </w:r>
      <w:r w:rsidRPr="00386B14">
        <w:rPr>
          <w:rFonts w:asciiTheme="majorHAnsi" w:hAnsiTheme="majorHAnsi" w:cstheme="majorHAnsi"/>
          <w:sz w:val="24"/>
          <w:szCs w:val="24"/>
        </w:rPr>
        <w:t>conversations.  These children ranged in age from 8 to 18. The need types included autism, ADHD, com</w:t>
      </w:r>
      <w:r w:rsidR="00B50ABF">
        <w:rPr>
          <w:rFonts w:asciiTheme="majorHAnsi" w:hAnsiTheme="majorHAnsi" w:cstheme="majorHAnsi"/>
          <w:sz w:val="24"/>
          <w:szCs w:val="24"/>
        </w:rPr>
        <w:t xml:space="preserve">munication and interaction, </w:t>
      </w:r>
      <w:r w:rsidRPr="00386B14">
        <w:rPr>
          <w:rFonts w:asciiTheme="majorHAnsi" w:hAnsiTheme="majorHAnsi" w:cstheme="majorHAnsi"/>
          <w:sz w:val="24"/>
          <w:szCs w:val="24"/>
        </w:rPr>
        <w:t>speech and language</w:t>
      </w:r>
      <w:r w:rsidR="00B50ABF">
        <w:rPr>
          <w:rFonts w:asciiTheme="majorHAnsi" w:hAnsiTheme="majorHAnsi" w:cstheme="majorHAnsi"/>
          <w:sz w:val="24"/>
          <w:szCs w:val="24"/>
        </w:rPr>
        <w:t xml:space="preserve"> difficulties</w:t>
      </w:r>
      <w:r w:rsidRPr="00386B14">
        <w:rPr>
          <w:rFonts w:asciiTheme="majorHAnsi" w:hAnsiTheme="majorHAnsi" w:cstheme="majorHAnsi"/>
          <w:sz w:val="24"/>
          <w:szCs w:val="24"/>
        </w:rPr>
        <w:t>, deafness, and global</w:t>
      </w:r>
      <w:r w:rsidR="00B50ABF">
        <w:rPr>
          <w:rFonts w:asciiTheme="majorHAnsi" w:hAnsiTheme="majorHAnsi" w:cstheme="majorHAnsi"/>
          <w:sz w:val="24"/>
          <w:szCs w:val="24"/>
        </w:rPr>
        <w:t xml:space="preserve"> developmental</w:t>
      </w:r>
      <w:r w:rsidRPr="00386B14">
        <w:rPr>
          <w:rFonts w:asciiTheme="majorHAnsi" w:hAnsiTheme="majorHAnsi" w:cstheme="majorHAnsi"/>
          <w:sz w:val="24"/>
          <w:szCs w:val="24"/>
        </w:rPr>
        <w:t xml:space="preserve"> </w:t>
      </w:r>
      <w:r w:rsidR="00B50ABF">
        <w:rPr>
          <w:rFonts w:asciiTheme="majorHAnsi" w:hAnsiTheme="majorHAnsi" w:cstheme="majorHAnsi"/>
          <w:sz w:val="24"/>
          <w:szCs w:val="24"/>
        </w:rPr>
        <w:t xml:space="preserve">delay.  Two of these children attended a </w:t>
      </w:r>
      <w:r w:rsidRPr="00386B14">
        <w:rPr>
          <w:rFonts w:asciiTheme="majorHAnsi" w:hAnsiTheme="majorHAnsi" w:cstheme="majorHAnsi"/>
          <w:sz w:val="24"/>
          <w:szCs w:val="24"/>
        </w:rPr>
        <w:t>specialist provision, three were educated at home (two on a temporary basis), and the remainder were in mainstream primary or secondary schools in York.</w:t>
      </w:r>
    </w:p>
    <w:p w14:paraId="55FCE671" w14:textId="77777777" w:rsidR="00386B14" w:rsidRPr="00386B14" w:rsidRDefault="00386B14" w:rsidP="00386B14">
      <w:pPr>
        <w:rPr>
          <w:rFonts w:asciiTheme="majorHAnsi" w:hAnsiTheme="majorHAnsi" w:cstheme="majorHAnsi"/>
          <w:sz w:val="24"/>
          <w:szCs w:val="24"/>
        </w:rPr>
      </w:pPr>
      <w:r w:rsidRPr="00386B14">
        <w:rPr>
          <w:rFonts w:asciiTheme="majorHAnsi" w:hAnsiTheme="majorHAnsi" w:cstheme="majorHAnsi"/>
          <w:sz w:val="24"/>
          <w:szCs w:val="24"/>
        </w:rPr>
        <w:t>Parents were i</w:t>
      </w:r>
      <w:r w:rsidR="00B50ABF">
        <w:rPr>
          <w:rFonts w:asciiTheme="majorHAnsi" w:hAnsiTheme="majorHAnsi" w:cstheme="majorHAnsi"/>
          <w:sz w:val="24"/>
          <w:szCs w:val="24"/>
        </w:rPr>
        <w:t>nformed that the interviewer was</w:t>
      </w:r>
      <w:r w:rsidRPr="00386B14">
        <w:rPr>
          <w:rFonts w:asciiTheme="majorHAnsi" w:hAnsiTheme="majorHAnsi" w:cstheme="majorHAnsi"/>
          <w:sz w:val="24"/>
          <w:szCs w:val="24"/>
        </w:rPr>
        <w:t xml:space="preserve"> ‘new to the world of SEND’, would therefore not be able to offer immediate so</w:t>
      </w:r>
      <w:r>
        <w:rPr>
          <w:rFonts w:asciiTheme="majorHAnsi" w:hAnsiTheme="majorHAnsi" w:cstheme="majorHAnsi"/>
          <w:sz w:val="24"/>
          <w:szCs w:val="24"/>
        </w:rPr>
        <w:t xml:space="preserve">lutions for their child’s needs, </w:t>
      </w:r>
      <w:r w:rsidR="00B50ABF">
        <w:rPr>
          <w:rFonts w:asciiTheme="majorHAnsi" w:hAnsiTheme="majorHAnsi" w:cstheme="majorHAnsi"/>
          <w:sz w:val="24"/>
          <w:szCs w:val="24"/>
        </w:rPr>
        <w:t xml:space="preserve">and </w:t>
      </w:r>
      <w:r>
        <w:rPr>
          <w:rFonts w:asciiTheme="majorHAnsi" w:hAnsiTheme="majorHAnsi" w:cstheme="majorHAnsi"/>
          <w:sz w:val="24"/>
          <w:szCs w:val="24"/>
        </w:rPr>
        <w:t xml:space="preserve">that the purpose of the interviews was the help build a better system for the future. </w:t>
      </w:r>
      <w:r w:rsidRPr="00386B14">
        <w:rPr>
          <w:rFonts w:asciiTheme="majorHAnsi" w:hAnsiTheme="majorHAnsi" w:cstheme="majorHAnsi"/>
          <w:sz w:val="24"/>
          <w:szCs w:val="24"/>
        </w:rPr>
        <w:t xml:space="preserve">The conversation was opened with an open request for the parents to tell a little bit about their son/daughter; including who they are as people, their interests, hobbies, and aspirations for the future, as well as their current circumstances and experiences. Using open prompts, parents were then guided through the topics of education, health, social care, and the wider city including mainstream and specialised voluntary and community sector groups. </w:t>
      </w:r>
    </w:p>
    <w:p w14:paraId="6221571D" w14:textId="77777777" w:rsidR="00386B14" w:rsidRPr="00386B14" w:rsidRDefault="00386B14" w:rsidP="00151424">
      <w:pPr>
        <w:rPr>
          <w:rFonts w:asciiTheme="majorHAnsi" w:hAnsiTheme="majorHAnsi" w:cstheme="majorHAnsi"/>
          <w:sz w:val="24"/>
          <w:szCs w:val="24"/>
        </w:rPr>
      </w:pPr>
      <w:r w:rsidRPr="00386B14">
        <w:rPr>
          <w:rFonts w:asciiTheme="majorHAnsi" w:hAnsiTheme="majorHAnsi" w:cstheme="majorHAnsi"/>
          <w:sz w:val="24"/>
          <w:szCs w:val="24"/>
        </w:rPr>
        <w:t xml:space="preserve">The findings and impressions of these interviews are spread throughout this needs assessment and form the basis for some of the recommendations. </w:t>
      </w:r>
    </w:p>
    <w:p w14:paraId="3417DA1D" w14:textId="77777777" w:rsidR="00386B14" w:rsidRDefault="00386B14" w:rsidP="00151424">
      <w:pPr>
        <w:rPr>
          <w:rFonts w:asciiTheme="majorHAnsi" w:hAnsiTheme="majorHAnsi" w:cstheme="majorHAnsi"/>
          <w:sz w:val="24"/>
          <w:szCs w:val="24"/>
        </w:rPr>
      </w:pPr>
    </w:p>
    <w:p w14:paraId="12175791" w14:textId="77777777" w:rsidR="00151424" w:rsidRPr="00151424" w:rsidRDefault="00151424" w:rsidP="009D20B5">
      <w:pPr>
        <w:pStyle w:val="Heading2"/>
        <w:rPr>
          <w:rFonts w:cstheme="majorHAnsi"/>
          <w:sz w:val="24"/>
          <w:szCs w:val="24"/>
        </w:rPr>
      </w:pPr>
      <w:bookmarkStart w:id="35" w:name="_Toc58575095"/>
      <w:r>
        <w:rPr>
          <w:rFonts w:cstheme="majorHAnsi"/>
          <w:sz w:val="24"/>
          <w:szCs w:val="24"/>
        </w:rPr>
        <w:lastRenderedPageBreak/>
        <w:t>Young people voice</w:t>
      </w:r>
      <w:r w:rsidR="00386B14">
        <w:rPr>
          <w:rFonts w:cstheme="majorHAnsi"/>
          <w:sz w:val="24"/>
          <w:szCs w:val="24"/>
        </w:rPr>
        <w:t xml:space="preserve"> In York</w:t>
      </w:r>
      <w:bookmarkEnd w:id="35"/>
    </w:p>
    <w:p w14:paraId="2486FEAA" w14:textId="77777777" w:rsidR="008413D9" w:rsidRDefault="008413D9" w:rsidP="00660859">
      <w:pPr>
        <w:rPr>
          <w:rFonts w:asciiTheme="majorHAnsi" w:hAnsiTheme="majorHAnsi" w:cstheme="minorHAnsi"/>
          <w:sz w:val="24"/>
          <w:szCs w:val="24"/>
        </w:rPr>
      </w:pPr>
      <w:r>
        <w:rPr>
          <w:rFonts w:asciiTheme="majorHAnsi" w:hAnsiTheme="majorHAnsi" w:cstheme="minorHAnsi"/>
          <w:sz w:val="24"/>
          <w:szCs w:val="24"/>
        </w:rPr>
        <w:t>It is unfortunate that it was not possible to engage with young people as part of this needs assessment</w:t>
      </w:r>
      <w:r w:rsidR="00931159">
        <w:rPr>
          <w:rFonts w:asciiTheme="majorHAnsi" w:hAnsiTheme="majorHAnsi" w:cstheme="minorHAnsi"/>
          <w:sz w:val="24"/>
          <w:szCs w:val="24"/>
        </w:rPr>
        <w:t xml:space="preserve"> project. Where there is existing service level feedback from children and young people in it included. Additionally, many of the recommendations involve coproduction with young people and their families, and developing opportunities for a more routine conversation with children and young people. </w:t>
      </w:r>
    </w:p>
    <w:p w14:paraId="69E480F1" w14:textId="77777777" w:rsidR="00660859" w:rsidRPr="00EB4A49" w:rsidRDefault="00931159" w:rsidP="00660859">
      <w:pPr>
        <w:rPr>
          <w:rFonts w:asciiTheme="majorHAnsi" w:hAnsiTheme="majorHAnsi" w:cstheme="minorHAnsi"/>
          <w:sz w:val="24"/>
          <w:szCs w:val="24"/>
        </w:rPr>
      </w:pPr>
      <w:r>
        <w:rPr>
          <w:rFonts w:asciiTheme="majorHAnsi" w:hAnsiTheme="majorHAnsi" w:cstheme="minorHAnsi"/>
          <w:sz w:val="24"/>
          <w:szCs w:val="24"/>
        </w:rPr>
        <w:t xml:space="preserve">Children and Young People’s voice was also heard as part of a wider engagement project ‘York Twelve Steps’ with all children and young people in York, about the twelve step York should take to become an inclusive city for all. Below is the most common feedback specifically given by children and young people with special educational needs and disabilities on what they </w:t>
      </w:r>
      <w:r w:rsidR="00660859" w:rsidRPr="00EB4A49">
        <w:rPr>
          <w:rFonts w:asciiTheme="majorHAnsi" w:hAnsiTheme="majorHAnsi" w:cstheme="minorHAnsi"/>
          <w:sz w:val="24"/>
          <w:szCs w:val="24"/>
        </w:rPr>
        <w:t xml:space="preserve">felt needed to change in order to make York an inclusive city and a great place to live for all.  </w:t>
      </w:r>
    </w:p>
    <w:p w14:paraId="7E339ECC"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Make small changes in healthcare waiting rooms to make it easier for people who find these places  stressful</w:t>
      </w:r>
    </w:p>
    <w:p w14:paraId="1D6004FA"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 xml:space="preserve">More </w:t>
      </w:r>
      <w:r w:rsidR="009D319C" w:rsidRPr="00EB4A49">
        <w:rPr>
          <w:rFonts w:asciiTheme="majorHAnsi" w:hAnsiTheme="majorHAnsi" w:cstheme="minorHAnsi"/>
          <w:sz w:val="24"/>
          <w:szCs w:val="24"/>
        </w:rPr>
        <w:t xml:space="preserve">education to professionals and the public of mental health, dementia, sunflower lanyards, and the different ways people communicate. </w:t>
      </w:r>
      <w:r w:rsidRPr="00EB4A49">
        <w:rPr>
          <w:rFonts w:asciiTheme="majorHAnsi" w:hAnsiTheme="majorHAnsi" w:cstheme="minorHAnsi"/>
          <w:sz w:val="24"/>
          <w:szCs w:val="24"/>
        </w:rPr>
        <w:t xml:space="preserve"> </w:t>
      </w:r>
    </w:p>
    <w:p w14:paraId="07ABB0E2"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 xml:space="preserve">More awareness about safe place schemes, more quite spaces in York, and other schemes which help keep York safe and welcoming for everyone. </w:t>
      </w:r>
    </w:p>
    <w:p w14:paraId="60AD7B35"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More opportunities for student voice in the community</w:t>
      </w:r>
    </w:p>
    <w:p w14:paraId="7A5C876D"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More disability sports lessons and events where disability coaches come together</w:t>
      </w:r>
    </w:p>
    <w:p w14:paraId="4AC4655F"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More wheelchair assessable equipment in parks, and better wheelchair accessibility in highstreets and shops. More benches and seating in public spaces.</w:t>
      </w:r>
    </w:p>
    <w:p w14:paraId="6B71C241"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 xml:space="preserve">More disabled toilets in public spaces, more radar keys </w:t>
      </w:r>
    </w:p>
    <w:p w14:paraId="0636222A"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 xml:space="preserve">More street lighting and cleaner pavements i.e. without litter, broken glass, or dog mess. </w:t>
      </w:r>
    </w:p>
    <w:p w14:paraId="65C9641F"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Clear signs to help people find their way</w:t>
      </w:r>
    </w:p>
    <w:p w14:paraId="7A12E24F" w14:textId="77777777" w:rsidR="00660859" w:rsidRPr="00EB4A49" w:rsidRDefault="00660859" w:rsidP="009D319C">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 xml:space="preserve">More education on social media and gaming communication. Clear messages about sharing information online. </w:t>
      </w:r>
    </w:p>
    <w:p w14:paraId="4180E3DD" w14:textId="77777777" w:rsidR="009D319C" w:rsidRPr="00EB4A49" w:rsidRDefault="00660859" w:rsidP="00660859">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 xml:space="preserve">Life skills on the mainstream timetable, i.e. work experience, budgeting, travel </w:t>
      </w:r>
    </w:p>
    <w:p w14:paraId="08B2762C" w14:textId="77777777" w:rsidR="00660859" w:rsidRPr="00EB4A49" w:rsidRDefault="00660859" w:rsidP="00660859">
      <w:pPr>
        <w:pStyle w:val="ListParagraph"/>
        <w:numPr>
          <w:ilvl w:val="0"/>
          <w:numId w:val="10"/>
        </w:numPr>
        <w:rPr>
          <w:rFonts w:asciiTheme="majorHAnsi" w:hAnsiTheme="majorHAnsi" w:cstheme="minorHAnsi"/>
          <w:sz w:val="24"/>
          <w:szCs w:val="24"/>
        </w:rPr>
      </w:pPr>
      <w:r w:rsidRPr="00EB4A49">
        <w:rPr>
          <w:rFonts w:asciiTheme="majorHAnsi" w:hAnsiTheme="majorHAnsi" w:cstheme="minorHAnsi"/>
          <w:sz w:val="24"/>
          <w:szCs w:val="24"/>
        </w:rPr>
        <w:t>Increased chance of employment after finishing college courses</w:t>
      </w:r>
    </w:p>
    <w:p w14:paraId="416C2424" w14:textId="77777777" w:rsidR="00177DBD" w:rsidRPr="00EB4A49" w:rsidRDefault="007C2B95">
      <w:pPr>
        <w:rPr>
          <w:rFonts w:asciiTheme="majorHAnsi" w:hAnsiTheme="majorHAnsi"/>
          <w:b/>
          <w:sz w:val="24"/>
          <w:szCs w:val="24"/>
        </w:rPr>
      </w:pPr>
      <w:r w:rsidRPr="00EB4A49">
        <w:rPr>
          <w:rFonts w:asciiTheme="majorHAnsi" w:hAnsiTheme="majorHAnsi"/>
          <w:b/>
          <w:sz w:val="24"/>
          <w:szCs w:val="24"/>
        </w:rPr>
        <w:t>National Feedback</w:t>
      </w:r>
      <w:r w:rsidR="00145D94">
        <w:rPr>
          <w:rFonts w:asciiTheme="majorHAnsi" w:hAnsiTheme="majorHAnsi"/>
          <w:b/>
          <w:sz w:val="24"/>
          <w:szCs w:val="24"/>
        </w:rPr>
        <w:t xml:space="preserve"> from Young People and Parents</w:t>
      </w:r>
    </w:p>
    <w:p w14:paraId="6CB34EB8" w14:textId="77777777" w:rsidR="007C2B95" w:rsidRPr="00EB4A49" w:rsidRDefault="007C2B95">
      <w:pPr>
        <w:rPr>
          <w:rFonts w:asciiTheme="majorHAnsi" w:hAnsiTheme="majorHAnsi"/>
          <w:sz w:val="24"/>
          <w:szCs w:val="24"/>
        </w:rPr>
      </w:pPr>
      <w:r w:rsidRPr="00EB4A49">
        <w:rPr>
          <w:rFonts w:asciiTheme="majorHAnsi" w:hAnsiTheme="majorHAnsi"/>
          <w:sz w:val="24"/>
          <w:szCs w:val="24"/>
        </w:rPr>
        <w:t>A national government survey in 2015</w:t>
      </w:r>
      <w:r w:rsidRPr="00EB4A49">
        <w:rPr>
          <w:rStyle w:val="FootnoteReference"/>
          <w:rFonts w:asciiTheme="majorHAnsi" w:hAnsiTheme="majorHAnsi"/>
          <w:sz w:val="24"/>
          <w:szCs w:val="24"/>
        </w:rPr>
        <w:footnoteReference w:id="36"/>
      </w:r>
      <w:r w:rsidRPr="00EB4A49">
        <w:rPr>
          <w:rFonts w:asciiTheme="majorHAnsi" w:hAnsiTheme="majorHAnsi"/>
          <w:sz w:val="24"/>
          <w:szCs w:val="24"/>
        </w:rPr>
        <w:t xml:space="preserve"> asked 10,600 parents and 3,000 young people (mostly parent facilitated) about their experience of the EHCP process. </w:t>
      </w:r>
    </w:p>
    <w:p w14:paraId="35DFDA49" w14:textId="77777777" w:rsidR="007C2B95" w:rsidRPr="00EB4A49" w:rsidRDefault="007C2B95">
      <w:pPr>
        <w:rPr>
          <w:rFonts w:asciiTheme="majorHAnsi" w:hAnsiTheme="majorHAnsi"/>
          <w:sz w:val="24"/>
          <w:szCs w:val="24"/>
        </w:rPr>
      </w:pPr>
      <w:r w:rsidRPr="00EB4A49">
        <w:rPr>
          <w:rFonts w:asciiTheme="majorHAnsi" w:hAnsiTheme="majorHAnsi"/>
          <w:sz w:val="24"/>
          <w:szCs w:val="24"/>
        </w:rPr>
        <w:t xml:space="preserve">Overall, 66% of people were satisfied with the process. Over half said it was easy to be involved, and 75% said the process was family centred. </w:t>
      </w:r>
      <w:r w:rsidR="005F2071" w:rsidRPr="00EB4A49">
        <w:rPr>
          <w:rFonts w:asciiTheme="majorHAnsi" w:hAnsiTheme="majorHAnsi"/>
          <w:sz w:val="24"/>
          <w:szCs w:val="24"/>
        </w:rPr>
        <w:t>However, only 18% said it was difficult to be involved in the process, and 19% said they were not given a choice about how to be involved in the process of an EHCP.</w:t>
      </w:r>
    </w:p>
    <w:p w14:paraId="67C5FCA8" w14:textId="77777777" w:rsidR="005F2071" w:rsidRPr="00EB4A49" w:rsidRDefault="005F2071">
      <w:pPr>
        <w:rPr>
          <w:rFonts w:asciiTheme="majorHAnsi" w:hAnsiTheme="majorHAnsi"/>
          <w:sz w:val="24"/>
          <w:szCs w:val="24"/>
        </w:rPr>
      </w:pPr>
      <w:r w:rsidRPr="00EB4A49">
        <w:rPr>
          <w:rFonts w:asciiTheme="majorHAnsi" w:hAnsiTheme="majorHAnsi"/>
          <w:sz w:val="24"/>
          <w:szCs w:val="24"/>
        </w:rPr>
        <w:lastRenderedPageBreak/>
        <w:t xml:space="preserve">More than 75% of parents said that professionals were knowledgeable and were able to work together. Overall, feedback was more positive when the EHCP was felt to reflect education, health, and care need, rather than a major focus on education. </w:t>
      </w:r>
    </w:p>
    <w:p w14:paraId="317AA694" w14:textId="77777777" w:rsidR="009D319C" w:rsidRPr="00B95606" w:rsidRDefault="007C2B95">
      <w:pPr>
        <w:rPr>
          <w:rFonts w:asciiTheme="majorHAnsi" w:hAnsiTheme="majorHAnsi"/>
          <w:sz w:val="24"/>
          <w:szCs w:val="24"/>
        </w:rPr>
      </w:pPr>
      <w:r w:rsidRPr="00EB4A49">
        <w:rPr>
          <w:rFonts w:asciiTheme="majorHAnsi" w:hAnsiTheme="majorHAnsi"/>
          <w:sz w:val="24"/>
          <w:szCs w:val="24"/>
        </w:rPr>
        <w:t xml:space="preserve">Overall, 62% of parents felt the plan will help achieve the agreed outcomes. </w:t>
      </w:r>
      <w:r w:rsidR="005F2071" w:rsidRPr="00EB4A49">
        <w:rPr>
          <w:rFonts w:asciiTheme="majorHAnsi" w:hAnsiTheme="majorHAnsi"/>
          <w:sz w:val="24"/>
          <w:szCs w:val="24"/>
        </w:rPr>
        <w:t>Furthermore, j</w:t>
      </w:r>
      <w:r w:rsidRPr="00EB4A49">
        <w:rPr>
          <w:rFonts w:asciiTheme="majorHAnsi" w:hAnsiTheme="majorHAnsi"/>
          <w:sz w:val="24"/>
          <w:szCs w:val="24"/>
        </w:rPr>
        <w:t xml:space="preserve">ust over half said that the plan enabled young people to fully participate in wider society, and to live move independently. </w:t>
      </w:r>
    </w:p>
    <w:p w14:paraId="495544AC" w14:textId="77777777" w:rsidR="007C2B95" w:rsidRDefault="00B95606">
      <w:pPr>
        <w:rPr>
          <w:rFonts w:asciiTheme="majorHAnsi" w:hAnsiTheme="majorHAnsi" w:cstheme="majorHAnsi"/>
          <w:sz w:val="24"/>
          <w:szCs w:val="24"/>
        </w:rPr>
      </w:pPr>
      <w:r>
        <w:rPr>
          <w:rFonts w:asciiTheme="majorHAnsi" w:hAnsiTheme="majorHAnsi" w:cstheme="majorHAnsi"/>
          <w:sz w:val="24"/>
          <w:szCs w:val="24"/>
        </w:rPr>
        <w:t>However, l</w:t>
      </w:r>
      <w:r w:rsidR="007C2B95" w:rsidRPr="00EB4A49">
        <w:rPr>
          <w:rFonts w:asciiTheme="majorHAnsi" w:hAnsiTheme="majorHAnsi" w:cstheme="majorHAnsi"/>
          <w:sz w:val="24"/>
          <w:szCs w:val="24"/>
        </w:rPr>
        <w:t xml:space="preserve">ess than half felt that the plan enabled the family to live the life they wanted to lead. Finally at least a third of parents said they had not been made aware of IASS and the local offer. </w:t>
      </w:r>
    </w:p>
    <w:p w14:paraId="67384A35" w14:textId="56724AF1" w:rsidR="00B95606" w:rsidRDefault="00B95606">
      <w:pPr>
        <w:rPr>
          <w:rFonts w:asciiTheme="majorHAnsi" w:hAnsiTheme="majorHAnsi" w:cstheme="majorHAnsi"/>
          <w:sz w:val="24"/>
          <w:szCs w:val="24"/>
        </w:rPr>
      </w:pPr>
      <w:r>
        <w:rPr>
          <w:rFonts w:asciiTheme="majorHAnsi" w:hAnsiTheme="majorHAnsi" w:cstheme="majorHAnsi"/>
          <w:sz w:val="24"/>
          <w:szCs w:val="24"/>
        </w:rPr>
        <w:t>No equivalent study has been done in York so it is not possible to know what parents in York would tell us. To respond to this gap in experience data the SEND improvement board is intending to create a short survey to collect parent’s views at key points through the SEN</w:t>
      </w:r>
      <w:r w:rsidR="00911F35">
        <w:rPr>
          <w:rFonts w:asciiTheme="majorHAnsi" w:hAnsiTheme="majorHAnsi" w:cstheme="majorHAnsi"/>
          <w:sz w:val="24"/>
          <w:szCs w:val="24"/>
        </w:rPr>
        <w:t>D</w:t>
      </w:r>
      <w:r>
        <w:rPr>
          <w:rFonts w:asciiTheme="majorHAnsi" w:hAnsiTheme="majorHAnsi" w:cstheme="majorHAnsi"/>
          <w:sz w:val="24"/>
          <w:szCs w:val="24"/>
        </w:rPr>
        <w:t xml:space="preserve"> journey. </w:t>
      </w:r>
    </w:p>
    <w:p w14:paraId="7583B748" w14:textId="6415CC93" w:rsidR="00B95606" w:rsidRDefault="00B95606">
      <w:pPr>
        <w:rPr>
          <w:rFonts w:asciiTheme="majorHAnsi" w:hAnsiTheme="majorHAnsi" w:cstheme="majorHAnsi"/>
          <w:b/>
          <w:sz w:val="24"/>
          <w:szCs w:val="24"/>
        </w:rPr>
      </w:pPr>
      <w:r w:rsidRPr="00B95606">
        <w:rPr>
          <w:rFonts w:asciiTheme="majorHAnsi" w:hAnsiTheme="majorHAnsi" w:cstheme="majorHAnsi"/>
          <w:b/>
          <w:sz w:val="24"/>
          <w:szCs w:val="24"/>
        </w:rPr>
        <w:t xml:space="preserve">Recommendation: For the SEND improvement board to follow through with plans to collect experience data from parents through the year. Where appropriate to use the same questions as the national 2015 survey to provide a national benchmarking opportunity. </w:t>
      </w:r>
    </w:p>
    <w:p w14:paraId="591B31CD" w14:textId="77777777" w:rsidR="00386B14" w:rsidRPr="00B95606" w:rsidRDefault="00386B14">
      <w:pPr>
        <w:rPr>
          <w:rFonts w:asciiTheme="majorHAnsi" w:hAnsiTheme="majorHAnsi" w:cstheme="majorHAnsi"/>
          <w:b/>
          <w:sz w:val="24"/>
          <w:szCs w:val="24"/>
        </w:rPr>
      </w:pPr>
    </w:p>
    <w:p w14:paraId="03526E00" w14:textId="77777777" w:rsidR="00177DBD" w:rsidRPr="00EB4A49" w:rsidRDefault="00177DBD" w:rsidP="00177DBD">
      <w:pPr>
        <w:pStyle w:val="Heading1"/>
        <w:rPr>
          <w:rFonts w:cstheme="majorHAnsi"/>
          <w:b/>
          <w:sz w:val="24"/>
          <w:szCs w:val="24"/>
        </w:rPr>
      </w:pPr>
      <w:bookmarkStart w:id="36" w:name="_Toc58575096"/>
      <w:r w:rsidRPr="00EB4A49">
        <w:rPr>
          <w:rFonts w:cstheme="majorHAnsi"/>
          <w:b/>
          <w:sz w:val="24"/>
          <w:szCs w:val="24"/>
        </w:rPr>
        <w:t>Inclusive City</w:t>
      </w:r>
      <w:bookmarkEnd w:id="36"/>
    </w:p>
    <w:p w14:paraId="0C52B864" w14:textId="77777777" w:rsidR="00B0694E" w:rsidRDefault="00B0694E" w:rsidP="00264C01">
      <w:pPr>
        <w:rPr>
          <w:rFonts w:asciiTheme="majorHAnsi" w:hAnsiTheme="majorHAnsi" w:cstheme="majorHAnsi"/>
          <w:sz w:val="24"/>
          <w:szCs w:val="24"/>
        </w:rPr>
      </w:pPr>
    </w:p>
    <w:p w14:paraId="5C788542" w14:textId="77777777" w:rsidR="00145D94" w:rsidRDefault="00B0694E" w:rsidP="00264C01">
      <w:pPr>
        <w:rPr>
          <w:rFonts w:asciiTheme="majorHAnsi" w:hAnsiTheme="majorHAnsi" w:cstheme="majorHAnsi"/>
          <w:sz w:val="24"/>
          <w:szCs w:val="24"/>
        </w:rPr>
      </w:pPr>
      <w:r w:rsidRPr="00B0694E">
        <w:rPr>
          <w:rFonts w:asciiTheme="majorHAnsi" w:hAnsiTheme="majorHAnsi" w:cstheme="majorHAnsi"/>
          <w:sz w:val="24"/>
          <w:szCs w:val="24"/>
        </w:rPr>
        <w:t>A joint report</w:t>
      </w:r>
      <w:r w:rsidRPr="00B0694E">
        <w:rPr>
          <w:rStyle w:val="FootnoteReference"/>
          <w:rFonts w:asciiTheme="majorHAnsi" w:hAnsiTheme="majorHAnsi" w:cstheme="majorHAnsi"/>
          <w:sz w:val="24"/>
          <w:szCs w:val="24"/>
        </w:rPr>
        <w:footnoteReference w:id="37"/>
      </w:r>
      <w:r>
        <w:rPr>
          <w:sz w:val="28"/>
        </w:rPr>
        <w:t xml:space="preserve"> </w:t>
      </w:r>
      <w:r w:rsidRPr="00B0694E">
        <w:rPr>
          <w:rFonts w:asciiTheme="majorHAnsi" w:hAnsiTheme="majorHAnsi" w:cstheme="majorHAnsi"/>
          <w:sz w:val="24"/>
          <w:szCs w:val="24"/>
        </w:rPr>
        <w:t>between Public Health England and the Associatio</w:t>
      </w:r>
      <w:r w:rsidR="00145D94">
        <w:rPr>
          <w:rFonts w:asciiTheme="majorHAnsi" w:hAnsiTheme="majorHAnsi" w:cstheme="majorHAnsi"/>
          <w:sz w:val="24"/>
          <w:szCs w:val="24"/>
        </w:rPr>
        <w:t xml:space="preserve">n of Directors of Public Health </w:t>
      </w:r>
      <w:r w:rsidRPr="00B0694E">
        <w:rPr>
          <w:rFonts w:asciiTheme="majorHAnsi" w:hAnsiTheme="majorHAnsi" w:cstheme="majorHAnsi"/>
          <w:sz w:val="24"/>
          <w:szCs w:val="24"/>
        </w:rPr>
        <w:t xml:space="preserve">sets out a framework </w:t>
      </w:r>
      <w:r w:rsidR="00145D94">
        <w:rPr>
          <w:rFonts w:asciiTheme="majorHAnsi" w:hAnsiTheme="majorHAnsi" w:cstheme="majorHAnsi"/>
          <w:sz w:val="24"/>
          <w:szCs w:val="24"/>
        </w:rPr>
        <w:t>which highlights the importance of an inclusive city for children and young people’s health and wellbeing.</w:t>
      </w:r>
      <w:r>
        <w:rPr>
          <w:rFonts w:asciiTheme="majorHAnsi" w:hAnsiTheme="majorHAnsi" w:cstheme="majorHAnsi"/>
          <w:sz w:val="24"/>
          <w:szCs w:val="24"/>
        </w:rPr>
        <w:t xml:space="preserve"> </w:t>
      </w:r>
      <w:r w:rsidRPr="00B0694E">
        <w:rPr>
          <w:rFonts w:asciiTheme="majorHAnsi" w:hAnsiTheme="majorHAnsi" w:cstheme="majorHAnsi"/>
          <w:sz w:val="24"/>
          <w:szCs w:val="24"/>
        </w:rPr>
        <w:t xml:space="preserve">The report considers </w:t>
      </w:r>
      <w:r>
        <w:rPr>
          <w:rFonts w:asciiTheme="majorHAnsi" w:hAnsiTheme="majorHAnsi" w:cstheme="majorHAnsi"/>
          <w:sz w:val="24"/>
          <w:szCs w:val="24"/>
        </w:rPr>
        <w:t xml:space="preserve">the things that </w:t>
      </w:r>
      <w:r w:rsidRPr="00B0694E">
        <w:rPr>
          <w:rFonts w:asciiTheme="majorHAnsi" w:hAnsiTheme="majorHAnsi" w:cstheme="majorHAnsi"/>
          <w:sz w:val="24"/>
          <w:szCs w:val="24"/>
        </w:rPr>
        <w:t>all children need to ha</w:t>
      </w:r>
      <w:r w:rsidR="00145D94">
        <w:rPr>
          <w:rFonts w:asciiTheme="majorHAnsi" w:hAnsiTheme="majorHAnsi" w:cstheme="majorHAnsi"/>
          <w:sz w:val="24"/>
          <w:szCs w:val="24"/>
        </w:rPr>
        <w:t xml:space="preserve">ve good lives and develop well; </w:t>
      </w:r>
      <w:r w:rsidRPr="00B0694E">
        <w:rPr>
          <w:rFonts w:asciiTheme="majorHAnsi" w:hAnsiTheme="majorHAnsi" w:cstheme="majorHAnsi"/>
          <w:sz w:val="24"/>
          <w:szCs w:val="24"/>
        </w:rPr>
        <w:t>strong bonds with care givers, secure homes, friendships and connections, nourishing food, places to play and be active, opportunities to develop and try new things. Arguably, these factors are even more important for children and young people who face additional disadvantage because of a special education need or disability. The report highlights that the solutions are in the community. “The home environment has an enormous impact on how children and young people develop, their outcomes and ultimately their life chances. Therefore parents, carers and the community in the broadest sense should feature in plans to improve outcomes for children and young people.”</w:t>
      </w:r>
    </w:p>
    <w:p w14:paraId="169D16E7" w14:textId="77777777" w:rsidR="00D95902" w:rsidRPr="00EB4A49" w:rsidRDefault="00145D94" w:rsidP="00BB09D6">
      <w:pPr>
        <w:rPr>
          <w:rFonts w:asciiTheme="majorHAnsi" w:hAnsiTheme="majorHAnsi" w:cstheme="majorHAnsi"/>
          <w:sz w:val="24"/>
          <w:szCs w:val="24"/>
        </w:rPr>
      </w:pPr>
      <w:r>
        <w:rPr>
          <w:rFonts w:asciiTheme="majorHAnsi" w:hAnsiTheme="majorHAnsi" w:cstheme="majorHAnsi"/>
          <w:sz w:val="24"/>
          <w:szCs w:val="24"/>
        </w:rPr>
        <w:lastRenderedPageBreak/>
        <w:t>There are examples of this in York. T</w:t>
      </w:r>
      <w:r w:rsidR="00BB09D6" w:rsidRPr="00EB4A49">
        <w:rPr>
          <w:rFonts w:asciiTheme="majorHAnsi" w:hAnsiTheme="majorHAnsi" w:cstheme="majorHAnsi"/>
          <w:sz w:val="24"/>
          <w:szCs w:val="24"/>
        </w:rPr>
        <w:t>he York Learning Disability Strategy</w:t>
      </w:r>
      <w:r w:rsidR="00BB09D6" w:rsidRPr="00EB4A49">
        <w:rPr>
          <w:rStyle w:val="FootnoteReference"/>
          <w:rFonts w:asciiTheme="majorHAnsi" w:hAnsiTheme="majorHAnsi" w:cstheme="majorHAnsi"/>
          <w:sz w:val="24"/>
          <w:szCs w:val="24"/>
        </w:rPr>
        <w:footnoteReference w:id="38"/>
      </w:r>
      <w:r>
        <w:rPr>
          <w:rFonts w:asciiTheme="majorHAnsi" w:hAnsiTheme="majorHAnsi" w:cstheme="majorHAnsi"/>
          <w:sz w:val="24"/>
          <w:szCs w:val="24"/>
        </w:rPr>
        <w:t xml:space="preserve"> </w:t>
      </w:r>
      <w:r w:rsidR="00BB09D6" w:rsidRPr="00EB4A49">
        <w:rPr>
          <w:rFonts w:asciiTheme="majorHAnsi" w:hAnsiTheme="majorHAnsi" w:cstheme="majorHAnsi"/>
          <w:sz w:val="24"/>
          <w:szCs w:val="24"/>
        </w:rPr>
        <w:t xml:space="preserve">supports the social model </w:t>
      </w:r>
      <w:r>
        <w:rPr>
          <w:rFonts w:asciiTheme="majorHAnsi" w:hAnsiTheme="majorHAnsi" w:cstheme="majorHAnsi"/>
          <w:sz w:val="24"/>
          <w:szCs w:val="24"/>
        </w:rPr>
        <w:t>of disability “</w:t>
      </w:r>
      <w:r w:rsidR="00BB09D6" w:rsidRPr="00EB4A49">
        <w:rPr>
          <w:rFonts w:asciiTheme="majorHAnsi" w:hAnsiTheme="majorHAnsi" w:cstheme="majorHAnsi"/>
          <w:sz w:val="24"/>
          <w:szCs w:val="24"/>
        </w:rPr>
        <w:t>that disability is not caused by an individual’s health condition or impairment but by the way society treats people and creates barriers for them.</w:t>
      </w:r>
      <w:r>
        <w:rPr>
          <w:rFonts w:asciiTheme="majorHAnsi" w:hAnsiTheme="majorHAnsi" w:cstheme="majorHAnsi"/>
          <w:sz w:val="24"/>
          <w:szCs w:val="24"/>
        </w:rPr>
        <w:t>” T</w:t>
      </w:r>
      <w:r w:rsidR="00BB09D6" w:rsidRPr="00EB4A49">
        <w:rPr>
          <w:rFonts w:asciiTheme="majorHAnsi" w:hAnsiTheme="majorHAnsi" w:cstheme="majorHAnsi"/>
          <w:sz w:val="24"/>
          <w:szCs w:val="24"/>
        </w:rPr>
        <w:t>h</w:t>
      </w:r>
      <w:r>
        <w:rPr>
          <w:rFonts w:asciiTheme="majorHAnsi" w:hAnsiTheme="majorHAnsi" w:cstheme="majorHAnsi"/>
          <w:sz w:val="24"/>
          <w:szCs w:val="24"/>
        </w:rPr>
        <w:t>ere are four priority areas; lifel</w:t>
      </w:r>
      <w:r w:rsidR="00085160" w:rsidRPr="00EB4A49">
        <w:rPr>
          <w:rFonts w:asciiTheme="majorHAnsi" w:hAnsiTheme="majorHAnsi" w:cstheme="majorHAnsi"/>
          <w:sz w:val="24"/>
          <w:szCs w:val="24"/>
        </w:rPr>
        <w:t>ong</w:t>
      </w:r>
      <w:r>
        <w:rPr>
          <w:rFonts w:asciiTheme="majorHAnsi" w:hAnsiTheme="majorHAnsi" w:cstheme="majorHAnsi"/>
          <w:sz w:val="24"/>
          <w:szCs w:val="24"/>
        </w:rPr>
        <w:t xml:space="preserve"> learning and employment, </w:t>
      </w:r>
      <w:r w:rsidR="00D95902" w:rsidRPr="00EB4A49">
        <w:rPr>
          <w:rFonts w:asciiTheme="majorHAnsi" w:hAnsiTheme="majorHAnsi" w:cstheme="majorHAnsi"/>
          <w:sz w:val="24"/>
          <w:szCs w:val="24"/>
        </w:rPr>
        <w:t>independent living</w:t>
      </w:r>
      <w:r>
        <w:rPr>
          <w:rFonts w:asciiTheme="majorHAnsi" w:hAnsiTheme="majorHAnsi" w:cstheme="majorHAnsi"/>
          <w:sz w:val="24"/>
          <w:szCs w:val="24"/>
        </w:rPr>
        <w:t xml:space="preserve">, participating in society, </w:t>
      </w:r>
      <w:r w:rsidR="009E1824" w:rsidRPr="00EB4A49">
        <w:rPr>
          <w:rFonts w:asciiTheme="majorHAnsi" w:hAnsiTheme="majorHAnsi" w:cstheme="majorHAnsi"/>
          <w:sz w:val="24"/>
          <w:szCs w:val="24"/>
        </w:rPr>
        <w:t>and health and wellbeing</w:t>
      </w:r>
      <w:r>
        <w:rPr>
          <w:rFonts w:asciiTheme="majorHAnsi" w:hAnsiTheme="majorHAnsi" w:cstheme="majorHAnsi"/>
          <w:sz w:val="24"/>
          <w:szCs w:val="24"/>
        </w:rPr>
        <w:t>.</w:t>
      </w:r>
      <w:r w:rsidR="009E1824" w:rsidRPr="00EB4A49">
        <w:rPr>
          <w:rFonts w:asciiTheme="majorHAnsi" w:hAnsiTheme="majorHAnsi" w:cstheme="majorHAnsi"/>
          <w:sz w:val="24"/>
          <w:szCs w:val="24"/>
        </w:rPr>
        <w:t xml:space="preserve"> </w:t>
      </w:r>
      <w:r w:rsidR="00B50ABF">
        <w:rPr>
          <w:rFonts w:asciiTheme="majorHAnsi" w:hAnsiTheme="majorHAnsi" w:cstheme="majorHAnsi"/>
          <w:sz w:val="24"/>
          <w:szCs w:val="24"/>
        </w:rPr>
        <w:t>T</w:t>
      </w:r>
      <w:r w:rsidR="00D95902" w:rsidRPr="00EB4A49">
        <w:rPr>
          <w:rFonts w:asciiTheme="majorHAnsi" w:hAnsiTheme="majorHAnsi" w:cstheme="majorHAnsi"/>
          <w:sz w:val="24"/>
          <w:szCs w:val="24"/>
        </w:rPr>
        <w:t>he York Autism Strategy</w:t>
      </w:r>
      <w:r w:rsidR="00D95902" w:rsidRPr="00EB4A49">
        <w:rPr>
          <w:rStyle w:val="FootnoteReference"/>
          <w:rFonts w:asciiTheme="majorHAnsi" w:hAnsiTheme="majorHAnsi" w:cstheme="majorHAnsi"/>
          <w:sz w:val="24"/>
          <w:szCs w:val="24"/>
        </w:rPr>
        <w:footnoteReference w:id="39"/>
      </w:r>
      <w:r w:rsidR="00D95902" w:rsidRPr="00EB4A49">
        <w:rPr>
          <w:rFonts w:asciiTheme="majorHAnsi" w:hAnsiTheme="majorHAnsi" w:cstheme="majorHAnsi"/>
          <w:sz w:val="24"/>
          <w:szCs w:val="24"/>
        </w:rPr>
        <w:t xml:space="preserve">  also identifies ‘inclusive communities’ as a key a</w:t>
      </w:r>
      <w:r>
        <w:rPr>
          <w:rFonts w:asciiTheme="majorHAnsi" w:hAnsiTheme="majorHAnsi" w:cstheme="majorHAnsi"/>
          <w:sz w:val="24"/>
          <w:szCs w:val="24"/>
        </w:rPr>
        <w:t xml:space="preserve">rea alongside five other areas; diagnostic support, training and education, employment, and parent/carer support. </w:t>
      </w:r>
    </w:p>
    <w:p w14:paraId="23844F9F" w14:textId="027CEC7D" w:rsidR="00B0694E" w:rsidRPr="00EB4A49" w:rsidRDefault="00684D00" w:rsidP="00BB09D6">
      <w:pPr>
        <w:rPr>
          <w:rFonts w:asciiTheme="majorHAnsi" w:hAnsiTheme="majorHAnsi" w:cstheme="majorHAnsi"/>
          <w:b/>
          <w:sz w:val="24"/>
          <w:szCs w:val="24"/>
        </w:rPr>
      </w:pPr>
      <w:r w:rsidRPr="00EB4A49">
        <w:rPr>
          <w:rFonts w:asciiTheme="majorHAnsi" w:hAnsiTheme="majorHAnsi" w:cstheme="majorHAnsi"/>
          <w:b/>
          <w:sz w:val="24"/>
          <w:szCs w:val="24"/>
        </w:rPr>
        <w:t>Recommendation: For the SEND Improvement Board to identify its role in securing each of the four priority areas of the York Learning Disability Strategy</w:t>
      </w:r>
      <w:r w:rsidR="00D95902" w:rsidRPr="00EB4A49">
        <w:rPr>
          <w:rFonts w:asciiTheme="majorHAnsi" w:hAnsiTheme="majorHAnsi" w:cstheme="majorHAnsi"/>
          <w:b/>
          <w:sz w:val="24"/>
          <w:szCs w:val="24"/>
        </w:rPr>
        <w:t xml:space="preserve"> and the six key areas of the York Autism Strategy. </w:t>
      </w:r>
    </w:p>
    <w:p w14:paraId="25EF46FA" w14:textId="77777777" w:rsidR="00145D94" w:rsidRDefault="00B50ABF" w:rsidP="00252DDB">
      <w:pPr>
        <w:spacing w:after="120"/>
        <w:rPr>
          <w:rFonts w:asciiTheme="majorHAnsi" w:hAnsiTheme="majorHAnsi" w:cstheme="majorHAnsi"/>
          <w:sz w:val="24"/>
          <w:szCs w:val="24"/>
        </w:rPr>
      </w:pPr>
      <w:r>
        <w:rPr>
          <w:rFonts w:asciiTheme="majorHAnsi" w:hAnsiTheme="majorHAnsi" w:cstheme="majorHAnsi"/>
          <w:sz w:val="24"/>
          <w:szCs w:val="24"/>
        </w:rPr>
        <w:t>The statutory web based Local O</w:t>
      </w:r>
      <w:r w:rsidR="00B0694E" w:rsidRPr="00EB4A49">
        <w:rPr>
          <w:rFonts w:asciiTheme="majorHAnsi" w:hAnsiTheme="majorHAnsi" w:cstheme="majorHAnsi"/>
          <w:sz w:val="24"/>
          <w:szCs w:val="24"/>
        </w:rPr>
        <w:t xml:space="preserve">ffer is intended as the key place for children or young people, and their families, to find the information they need. This includes, health, money, leisure, </w:t>
      </w:r>
      <w:r w:rsidR="00145D94">
        <w:rPr>
          <w:rFonts w:asciiTheme="majorHAnsi" w:hAnsiTheme="majorHAnsi" w:cstheme="majorHAnsi"/>
          <w:sz w:val="24"/>
          <w:szCs w:val="24"/>
        </w:rPr>
        <w:t xml:space="preserve">and </w:t>
      </w:r>
      <w:r w:rsidR="00B0694E" w:rsidRPr="00EB4A49">
        <w:rPr>
          <w:rFonts w:asciiTheme="majorHAnsi" w:hAnsiTheme="majorHAnsi" w:cstheme="majorHAnsi"/>
          <w:sz w:val="24"/>
          <w:szCs w:val="24"/>
        </w:rPr>
        <w:t xml:space="preserve">education. </w:t>
      </w:r>
      <w:r w:rsidR="00145D94" w:rsidRPr="00145D94">
        <w:rPr>
          <w:rFonts w:asciiTheme="majorHAnsi" w:hAnsiTheme="majorHAnsi" w:cstheme="majorHAnsi"/>
          <w:sz w:val="24"/>
          <w:szCs w:val="24"/>
        </w:rPr>
        <w:t xml:space="preserve">The 2019 OFSTED report tells us </w:t>
      </w:r>
      <w:r w:rsidR="00145D94">
        <w:rPr>
          <w:rFonts w:asciiTheme="majorHAnsi" w:hAnsiTheme="majorHAnsi" w:cstheme="majorHAnsi"/>
          <w:sz w:val="24"/>
          <w:szCs w:val="24"/>
        </w:rPr>
        <w:t>that ‘t</w:t>
      </w:r>
      <w:r w:rsidR="00145D94" w:rsidRPr="00EB4A49">
        <w:rPr>
          <w:rFonts w:asciiTheme="majorHAnsi" w:hAnsiTheme="majorHAnsi" w:cstheme="majorHAnsi"/>
          <w:sz w:val="24"/>
          <w:szCs w:val="24"/>
        </w:rPr>
        <w:t>he area’s local offer fulfils the requirements outlined in the SEND code of practice. However, many parents are unaware it exists and some have</w:t>
      </w:r>
      <w:r w:rsidR="00145D94">
        <w:rPr>
          <w:rFonts w:asciiTheme="majorHAnsi" w:hAnsiTheme="majorHAnsi" w:cstheme="majorHAnsi"/>
          <w:sz w:val="24"/>
          <w:szCs w:val="24"/>
        </w:rPr>
        <w:t xml:space="preserve"> not accessed it.’ This is also reflected in the parent interviews; when asked about their experiences of the wider city, none of the parents mentioned the local offer or SENDIAS witho</w:t>
      </w:r>
      <w:r w:rsidR="00252DDB">
        <w:rPr>
          <w:rFonts w:asciiTheme="majorHAnsi" w:hAnsiTheme="majorHAnsi" w:cstheme="majorHAnsi"/>
          <w:sz w:val="24"/>
          <w:szCs w:val="24"/>
        </w:rPr>
        <w:t>ut prompting by the interviewer.</w:t>
      </w:r>
    </w:p>
    <w:p w14:paraId="6782B1D8" w14:textId="77777777" w:rsidR="00B0694E" w:rsidRDefault="00B50ABF" w:rsidP="00B0694E">
      <w:pPr>
        <w:rPr>
          <w:rFonts w:asciiTheme="majorHAnsi" w:hAnsiTheme="majorHAnsi" w:cstheme="majorHAnsi"/>
          <w:sz w:val="24"/>
          <w:szCs w:val="24"/>
        </w:rPr>
      </w:pPr>
      <w:r>
        <w:rPr>
          <w:rFonts w:asciiTheme="majorHAnsi" w:hAnsiTheme="majorHAnsi" w:cstheme="majorHAnsi"/>
          <w:sz w:val="24"/>
          <w:szCs w:val="24"/>
        </w:rPr>
        <w:t>The comple</w:t>
      </w:r>
      <w:r w:rsidR="00252DDB">
        <w:rPr>
          <w:rFonts w:asciiTheme="majorHAnsi" w:hAnsiTheme="majorHAnsi" w:cstheme="majorHAnsi"/>
          <w:sz w:val="24"/>
          <w:szCs w:val="24"/>
        </w:rPr>
        <w:t>mentary resource of the</w:t>
      </w:r>
      <w:r>
        <w:rPr>
          <w:rFonts w:asciiTheme="majorHAnsi" w:hAnsiTheme="majorHAnsi" w:cstheme="majorHAnsi"/>
          <w:sz w:val="24"/>
          <w:szCs w:val="24"/>
        </w:rPr>
        <w:t xml:space="preserve"> all-age</w:t>
      </w:r>
      <w:r w:rsidR="00252DDB">
        <w:rPr>
          <w:rFonts w:asciiTheme="majorHAnsi" w:hAnsiTheme="majorHAnsi" w:cstheme="majorHAnsi"/>
          <w:sz w:val="24"/>
          <w:szCs w:val="24"/>
        </w:rPr>
        <w:t xml:space="preserve"> </w:t>
      </w:r>
      <w:r w:rsidR="00B0694E">
        <w:rPr>
          <w:rFonts w:asciiTheme="majorHAnsi" w:hAnsiTheme="majorHAnsi" w:cstheme="majorHAnsi"/>
          <w:sz w:val="24"/>
          <w:szCs w:val="24"/>
        </w:rPr>
        <w:t xml:space="preserve">Live Well York Site includes </w:t>
      </w:r>
      <w:r w:rsidR="00B0694E" w:rsidRPr="00EB4A49">
        <w:rPr>
          <w:rFonts w:asciiTheme="majorHAnsi" w:hAnsiTheme="majorHAnsi" w:cstheme="majorHAnsi"/>
          <w:sz w:val="24"/>
          <w:szCs w:val="24"/>
        </w:rPr>
        <w:t>nearly 650 community activity groups that meet weekly or monthly. Of these, around 6% are accessible for people with a learning disability, autism, or a sensory impairment. This includes some groups which are specifically for people with these needs.</w:t>
      </w:r>
      <w:r w:rsidR="00252DDB">
        <w:rPr>
          <w:rFonts w:asciiTheme="majorHAnsi" w:hAnsiTheme="majorHAnsi" w:cstheme="majorHAnsi"/>
          <w:sz w:val="24"/>
          <w:szCs w:val="24"/>
        </w:rPr>
        <w:t xml:space="preserve"> </w:t>
      </w:r>
      <w:r w:rsidR="00B0694E">
        <w:rPr>
          <w:rFonts w:asciiTheme="majorHAnsi" w:hAnsiTheme="majorHAnsi" w:cstheme="majorHAnsi"/>
          <w:sz w:val="24"/>
          <w:szCs w:val="24"/>
        </w:rPr>
        <w:t xml:space="preserve"> Whilst there may be gaps in some parts of the city, or some types of community activity, York has a range of accessibly and inclusive community groups in York. </w:t>
      </w:r>
    </w:p>
    <w:p w14:paraId="1BEDA12F" w14:textId="215E28C3" w:rsidR="00252DDB" w:rsidRPr="00252DDB" w:rsidRDefault="00252DDB" w:rsidP="00252DDB">
      <w:pPr>
        <w:rPr>
          <w:rFonts w:asciiTheme="majorHAnsi" w:hAnsiTheme="majorHAnsi" w:cstheme="majorHAnsi"/>
          <w:sz w:val="24"/>
          <w:szCs w:val="24"/>
        </w:rPr>
      </w:pPr>
      <w:r w:rsidRPr="00252DDB">
        <w:rPr>
          <w:rFonts w:asciiTheme="majorHAnsi" w:hAnsiTheme="majorHAnsi" w:cstheme="majorHAnsi"/>
          <w:sz w:val="24"/>
          <w:szCs w:val="24"/>
        </w:rPr>
        <w:t>In interviews, York parents tell us that there is a broad range of community and voluntary groups for children and young people with special educational needs</w:t>
      </w:r>
      <w:r w:rsidR="00D11AAE">
        <w:rPr>
          <w:rFonts w:asciiTheme="majorHAnsi" w:hAnsiTheme="majorHAnsi" w:cstheme="majorHAnsi"/>
          <w:sz w:val="24"/>
          <w:szCs w:val="24"/>
        </w:rPr>
        <w:t xml:space="preserve"> and disabilities</w:t>
      </w:r>
      <w:r w:rsidRPr="00252DDB">
        <w:rPr>
          <w:rFonts w:asciiTheme="majorHAnsi" w:hAnsiTheme="majorHAnsi" w:cstheme="majorHAnsi"/>
          <w:sz w:val="24"/>
          <w:szCs w:val="24"/>
        </w:rPr>
        <w:t>. This was really valued. However parents often said that these groups didn’t fit well with their child’s circumstances, either their age or developmental stage.</w:t>
      </w:r>
    </w:p>
    <w:p w14:paraId="064D4944" w14:textId="79D10640" w:rsidR="00252DDB" w:rsidRPr="00252DDB" w:rsidRDefault="00252DDB" w:rsidP="00252DDB">
      <w:pPr>
        <w:rPr>
          <w:rFonts w:asciiTheme="majorHAnsi" w:hAnsiTheme="majorHAnsi" w:cstheme="majorHAnsi"/>
          <w:b/>
          <w:sz w:val="24"/>
          <w:szCs w:val="24"/>
        </w:rPr>
      </w:pPr>
      <w:r w:rsidRPr="00252DDB">
        <w:rPr>
          <w:rFonts w:asciiTheme="majorHAnsi" w:hAnsiTheme="majorHAnsi" w:cstheme="majorHAnsi"/>
          <w:b/>
          <w:sz w:val="24"/>
          <w:szCs w:val="24"/>
        </w:rPr>
        <w:t>Recommendation: To review the existing community and voluntary provision for children and young people with special educational needs</w:t>
      </w:r>
      <w:r w:rsidR="00D11AAE">
        <w:rPr>
          <w:rFonts w:asciiTheme="majorHAnsi" w:hAnsiTheme="majorHAnsi" w:cstheme="majorHAnsi"/>
          <w:b/>
          <w:sz w:val="24"/>
          <w:szCs w:val="24"/>
        </w:rPr>
        <w:t xml:space="preserve"> and disabilities</w:t>
      </w:r>
      <w:r w:rsidRPr="00252DDB">
        <w:rPr>
          <w:rFonts w:asciiTheme="majorHAnsi" w:hAnsiTheme="majorHAnsi" w:cstheme="majorHAnsi"/>
          <w:b/>
          <w:sz w:val="24"/>
          <w:szCs w:val="24"/>
        </w:rPr>
        <w:t xml:space="preserve">. In coproduction with families to identify and respond to any particular gaps in the types of provision available. </w:t>
      </w:r>
    </w:p>
    <w:p w14:paraId="5E006A3A" w14:textId="2D9FFBCF" w:rsidR="00D20288" w:rsidRPr="002169B1" w:rsidRDefault="00DD2E2D" w:rsidP="00D20288">
      <w:pPr>
        <w:rPr>
          <w:rFonts w:asciiTheme="majorHAnsi" w:hAnsiTheme="majorHAnsi" w:cstheme="majorHAnsi"/>
          <w:b/>
          <w:sz w:val="24"/>
          <w:szCs w:val="24"/>
        </w:rPr>
      </w:pPr>
      <w:r>
        <w:rPr>
          <w:rFonts w:asciiTheme="majorHAnsi" w:hAnsiTheme="majorHAnsi" w:cstheme="majorHAnsi"/>
          <w:b/>
          <w:sz w:val="24"/>
          <w:szCs w:val="24"/>
        </w:rPr>
        <w:t>R</w:t>
      </w:r>
      <w:r w:rsidR="00252DDB" w:rsidRPr="00252DDB">
        <w:rPr>
          <w:rFonts w:asciiTheme="majorHAnsi" w:hAnsiTheme="majorHAnsi" w:cstheme="majorHAnsi"/>
          <w:b/>
          <w:sz w:val="24"/>
          <w:szCs w:val="24"/>
        </w:rPr>
        <w:t>ecommendation: To continue to work creativel</w:t>
      </w:r>
      <w:r w:rsidR="00252DDB">
        <w:rPr>
          <w:rFonts w:asciiTheme="majorHAnsi" w:hAnsiTheme="majorHAnsi" w:cstheme="majorHAnsi"/>
          <w:b/>
          <w:sz w:val="24"/>
          <w:szCs w:val="24"/>
        </w:rPr>
        <w:t>y to promote the Local Offer,</w:t>
      </w:r>
      <w:r w:rsidR="00252DDB" w:rsidRPr="00252DDB">
        <w:rPr>
          <w:rFonts w:asciiTheme="majorHAnsi" w:hAnsiTheme="majorHAnsi" w:cstheme="majorHAnsi"/>
          <w:b/>
          <w:sz w:val="24"/>
          <w:szCs w:val="24"/>
        </w:rPr>
        <w:t xml:space="preserve"> Live Well York</w:t>
      </w:r>
      <w:r w:rsidR="00252DDB">
        <w:rPr>
          <w:rFonts w:asciiTheme="majorHAnsi" w:hAnsiTheme="majorHAnsi" w:cstheme="majorHAnsi"/>
          <w:b/>
          <w:sz w:val="24"/>
          <w:szCs w:val="24"/>
        </w:rPr>
        <w:t>, and SENDIASS to children and young people with SEND and their families. This may include sending reminder information as part of other routine communications, as well as asking children, young people, and parents to make suggestions for content that should be added to or amended, this is in order to build collective ownership and open communication.</w:t>
      </w:r>
    </w:p>
    <w:p w14:paraId="50F81992" w14:textId="77777777" w:rsidR="00D20288" w:rsidRPr="002169B1" w:rsidRDefault="00BD1A36" w:rsidP="00D20288">
      <w:pPr>
        <w:rPr>
          <w:rFonts w:asciiTheme="majorHAnsi" w:hAnsiTheme="majorHAnsi" w:cstheme="majorHAnsi"/>
          <w:sz w:val="24"/>
          <w:szCs w:val="24"/>
        </w:rPr>
      </w:pPr>
      <w:r w:rsidRPr="002169B1">
        <w:rPr>
          <w:rFonts w:asciiTheme="majorHAnsi" w:hAnsiTheme="majorHAnsi" w:cstheme="majorHAnsi"/>
          <w:sz w:val="24"/>
          <w:szCs w:val="24"/>
        </w:rPr>
        <w:t>In Interviews, g</w:t>
      </w:r>
      <w:r w:rsidR="00D20288" w:rsidRPr="002169B1">
        <w:rPr>
          <w:rFonts w:asciiTheme="majorHAnsi" w:hAnsiTheme="majorHAnsi" w:cstheme="majorHAnsi"/>
          <w:sz w:val="24"/>
          <w:szCs w:val="24"/>
        </w:rPr>
        <w:t xml:space="preserve">enerally parent’s experiences of their children attending mainstream </w:t>
      </w:r>
      <w:r w:rsidR="00B50ABF">
        <w:rPr>
          <w:rFonts w:asciiTheme="majorHAnsi" w:hAnsiTheme="majorHAnsi" w:cstheme="majorHAnsi"/>
          <w:sz w:val="24"/>
          <w:szCs w:val="24"/>
        </w:rPr>
        <w:t>clubs and leisure settings</w:t>
      </w:r>
      <w:r w:rsidR="00D20288" w:rsidRPr="002169B1">
        <w:rPr>
          <w:rFonts w:asciiTheme="majorHAnsi" w:hAnsiTheme="majorHAnsi" w:cstheme="majorHAnsi"/>
          <w:sz w:val="24"/>
          <w:szCs w:val="24"/>
        </w:rPr>
        <w:t xml:space="preserve"> were good overall, though parents were selective on where they sent </w:t>
      </w:r>
      <w:r w:rsidR="00D20288" w:rsidRPr="002169B1">
        <w:rPr>
          <w:rFonts w:asciiTheme="majorHAnsi" w:hAnsiTheme="majorHAnsi" w:cstheme="majorHAnsi"/>
          <w:sz w:val="24"/>
          <w:szCs w:val="24"/>
        </w:rPr>
        <w:lastRenderedPageBreak/>
        <w:t>their children. Inclusive city infras</w:t>
      </w:r>
      <w:r w:rsidR="00B50ABF">
        <w:rPr>
          <w:rFonts w:asciiTheme="majorHAnsi" w:hAnsiTheme="majorHAnsi" w:cstheme="majorHAnsi"/>
          <w:sz w:val="24"/>
          <w:szCs w:val="24"/>
        </w:rPr>
        <w:t xml:space="preserve">tructure, such as hearing loops, </w:t>
      </w:r>
      <w:r w:rsidR="00D20288" w:rsidRPr="002169B1">
        <w:rPr>
          <w:rFonts w:asciiTheme="majorHAnsi" w:hAnsiTheme="majorHAnsi" w:cstheme="majorHAnsi"/>
          <w:sz w:val="24"/>
          <w:szCs w:val="24"/>
        </w:rPr>
        <w:t>signage, and printed information was also valued by parents. However, sometimes these resources are not working, a</w:t>
      </w:r>
      <w:r w:rsidR="00B50ABF">
        <w:rPr>
          <w:rFonts w:asciiTheme="majorHAnsi" w:hAnsiTheme="majorHAnsi" w:cstheme="majorHAnsi"/>
          <w:sz w:val="24"/>
          <w:szCs w:val="24"/>
        </w:rPr>
        <w:t>nd parents tell us this can be</w:t>
      </w:r>
      <w:r w:rsidR="00D20288" w:rsidRPr="002169B1">
        <w:rPr>
          <w:rFonts w:asciiTheme="majorHAnsi" w:hAnsiTheme="majorHAnsi" w:cstheme="majorHAnsi"/>
          <w:sz w:val="24"/>
          <w:szCs w:val="24"/>
        </w:rPr>
        <w:t xml:space="preserve"> frustrating.  </w:t>
      </w:r>
    </w:p>
    <w:p w14:paraId="58F9E276" w14:textId="3DB8ACB8" w:rsidR="00D20288" w:rsidRPr="002169B1" w:rsidRDefault="00DD2E2D" w:rsidP="00D20288">
      <w:pPr>
        <w:rPr>
          <w:rFonts w:asciiTheme="majorHAnsi" w:hAnsiTheme="majorHAnsi" w:cstheme="majorHAnsi"/>
          <w:b/>
          <w:sz w:val="24"/>
          <w:szCs w:val="24"/>
        </w:rPr>
      </w:pPr>
      <w:r>
        <w:rPr>
          <w:rFonts w:asciiTheme="majorHAnsi" w:hAnsiTheme="majorHAnsi" w:cstheme="majorHAnsi"/>
          <w:b/>
          <w:sz w:val="24"/>
          <w:szCs w:val="24"/>
        </w:rPr>
        <w:t>R</w:t>
      </w:r>
      <w:r w:rsidR="00D20288" w:rsidRPr="002169B1">
        <w:rPr>
          <w:rFonts w:asciiTheme="majorHAnsi" w:hAnsiTheme="majorHAnsi" w:cstheme="majorHAnsi"/>
          <w:b/>
          <w:sz w:val="24"/>
          <w:szCs w:val="24"/>
        </w:rPr>
        <w:t xml:space="preserve">ecommendation: Review inclusive city infrastructure, possibly by supporting the work of the ageing well partnership, to review how things such as hearing loops are operating.  Provide guidance to businesses on how to check and respond to faults in hearing loops. </w:t>
      </w:r>
    </w:p>
    <w:p w14:paraId="05719C57" w14:textId="77777777" w:rsidR="00D20288" w:rsidRPr="00B96517" w:rsidRDefault="00D20288" w:rsidP="00BB09D6">
      <w:pPr>
        <w:rPr>
          <w:rFonts w:asciiTheme="majorHAnsi" w:hAnsiTheme="majorHAnsi" w:cstheme="majorHAnsi"/>
          <w:b/>
          <w:sz w:val="24"/>
          <w:szCs w:val="24"/>
        </w:rPr>
      </w:pPr>
    </w:p>
    <w:p w14:paraId="7287766A" w14:textId="77777777" w:rsidR="00545AB3" w:rsidRDefault="00545AB3" w:rsidP="00F708A5">
      <w:pPr>
        <w:rPr>
          <w:rFonts w:asciiTheme="majorHAnsi" w:eastAsiaTheme="majorEastAsia" w:hAnsiTheme="majorHAnsi" w:cstheme="majorHAnsi"/>
          <w:b/>
          <w:color w:val="2E74B5" w:themeColor="accent1" w:themeShade="BF"/>
          <w:sz w:val="24"/>
          <w:szCs w:val="24"/>
        </w:rPr>
      </w:pPr>
    </w:p>
    <w:p w14:paraId="51D6C548" w14:textId="77777777" w:rsidR="00F708A5" w:rsidRDefault="00F708A5" w:rsidP="009D20B5">
      <w:pPr>
        <w:pStyle w:val="Heading1"/>
        <w:rPr>
          <w:rFonts w:cstheme="majorHAnsi"/>
          <w:b/>
          <w:sz w:val="24"/>
          <w:szCs w:val="24"/>
        </w:rPr>
      </w:pPr>
      <w:bookmarkStart w:id="37" w:name="_Toc58575097"/>
      <w:r>
        <w:rPr>
          <w:rFonts w:cstheme="majorHAnsi"/>
          <w:b/>
          <w:sz w:val="24"/>
          <w:szCs w:val="24"/>
        </w:rPr>
        <w:t>Young people aged 16-25</w:t>
      </w:r>
      <w:bookmarkEnd w:id="37"/>
    </w:p>
    <w:p w14:paraId="375B2FE7" w14:textId="77777777" w:rsidR="009D20B5" w:rsidRDefault="009D20B5" w:rsidP="00F708A5">
      <w:pPr>
        <w:rPr>
          <w:rFonts w:asciiTheme="majorHAnsi" w:hAnsiTheme="majorHAnsi" w:cstheme="majorHAnsi"/>
          <w:sz w:val="24"/>
          <w:szCs w:val="24"/>
        </w:rPr>
      </w:pPr>
    </w:p>
    <w:p w14:paraId="4049751A" w14:textId="77777777" w:rsidR="00F708A5" w:rsidRDefault="00F708A5" w:rsidP="009D20B5">
      <w:pPr>
        <w:pStyle w:val="Heading2"/>
        <w:rPr>
          <w:rFonts w:cstheme="majorHAnsi"/>
          <w:sz w:val="24"/>
          <w:szCs w:val="24"/>
        </w:rPr>
      </w:pPr>
      <w:bookmarkStart w:id="38" w:name="_Toc58575098"/>
      <w:r>
        <w:rPr>
          <w:rFonts w:cstheme="majorHAnsi"/>
          <w:sz w:val="24"/>
          <w:szCs w:val="24"/>
        </w:rPr>
        <w:t>Preparation for adulthood and transition</w:t>
      </w:r>
      <w:bookmarkEnd w:id="38"/>
      <w:r>
        <w:rPr>
          <w:rFonts w:cstheme="majorHAnsi"/>
          <w:sz w:val="24"/>
          <w:szCs w:val="24"/>
        </w:rPr>
        <w:t xml:space="preserve"> </w:t>
      </w:r>
    </w:p>
    <w:p w14:paraId="5D1E4B86" w14:textId="77777777" w:rsidR="00F708A5" w:rsidRDefault="00F708A5" w:rsidP="00F708A5">
      <w:pPr>
        <w:rPr>
          <w:rFonts w:asciiTheme="majorHAnsi" w:hAnsiTheme="majorHAnsi" w:cstheme="majorHAnsi"/>
          <w:sz w:val="24"/>
          <w:szCs w:val="24"/>
        </w:rPr>
      </w:pPr>
      <w:r w:rsidRPr="00D20288">
        <w:rPr>
          <w:rFonts w:asciiTheme="majorHAnsi" w:hAnsiTheme="majorHAnsi" w:cstheme="majorHAnsi"/>
          <w:sz w:val="24"/>
          <w:szCs w:val="24"/>
        </w:rPr>
        <w:t>The current preparation for adulthood team is for people aged 14-25 years old who have children’s social care involvement and are expected to have adult social care involvement when they are older.</w:t>
      </w:r>
      <w:r>
        <w:rPr>
          <w:rFonts w:asciiTheme="majorHAnsi" w:hAnsiTheme="majorHAnsi" w:cstheme="majorHAnsi"/>
          <w:sz w:val="24"/>
          <w:szCs w:val="24"/>
        </w:rPr>
        <w:t xml:space="preserve"> This might include 100 hours of short breaks provision from the children’s social care team, which can be accessed without a formalised assessment from a social worker, as well as any more formalised types of support. In 2020, this service supports 18 young people. It is a specialised targeted service, which is not accessed by the majority of young people with SEND.</w:t>
      </w:r>
    </w:p>
    <w:p w14:paraId="6E442ECA" w14:textId="77777777" w:rsidR="00F708A5" w:rsidRDefault="00F708A5" w:rsidP="00F708A5">
      <w:pPr>
        <w:rPr>
          <w:rFonts w:asciiTheme="majorHAnsi" w:hAnsiTheme="majorHAnsi" w:cstheme="majorHAnsi"/>
          <w:sz w:val="24"/>
          <w:szCs w:val="24"/>
        </w:rPr>
      </w:pPr>
      <w:r>
        <w:rPr>
          <w:rFonts w:asciiTheme="majorHAnsi" w:hAnsiTheme="majorHAnsi" w:cstheme="majorHAnsi"/>
          <w:sz w:val="24"/>
          <w:szCs w:val="24"/>
        </w:rPr>
        <w:t xml:space="preserve">Within the EHCP process, each annual review meeting is intended to have a focus on building independence and preparation for adulthood. However, parents and professionals in this area describe a lack of uniformity in how conversations about how preparation for adulthood is approached with young people and parents. </w:t>
      </w:r>
    </w:p>
    <w:p w14:paraId="48C3F6CA" w14:textId="049D9FD8" w:rsidR="00F708A5" w:rsidRDefault="00F708A5" w:rsidP="00F708A5">
      <w:pPr>
        <w:rPr>
          <w:rFonts w:asciiTheme="majorHAnsi" w:hAnsiTheme="majorHAnsi" w:cstheme="majorHAnsi"/>
          <w:sz w:val="24"/>
          <w:szCs w:val="24"/>
        </w:rPr>
      </w:pPr>
      <w:r>
        <w:rPr>
          <w:rFonts w:asciiTheme="majorHAnsi" w:hAnsiTheme="majorHAnsi" w:cstheme="majorHAnsi"/>
          <w:sz w:val="24"/>
          <w:szCs w:val="24"/>
        </w:rPr>
        <w:t xml:space="preserve">It is of course entirely natural for parents to feel uncertain about the futures for their children. However, the impression of talking to parents on this topic was that some parents felt separate to the professional involvement for transition. One parent said </w:t>
      </w:r>
      <w:r w:rsidRPr="0064546E">
        <w:rPr>
          <w:rFonts w:asciiTheme="majorHAnsi" w:hAnsiTheme="majorHAnsi" w:cstheme="majorHAnsi"/>
          <w:sz w:val="24"/>
          <w:szCs w:val="24"/>
        </w:rPr>
        <w:t xml:space="preserve">‘I genuinely don’t know’ about next steps for her daughter. Another explained that ‘I never really know what I should be asking for’ in EHCP reviews for her son in relation to the plan for the coming year and achieving his independence goals. </w:t>
      </w:r>
      <w:r>
        <w:rPr>
          <w:rFonts w:asciiTheme="majorHAnsi" w:hAnsiTheme="majorHAnsi" w:cstheme="majorHAnsi"/>
          <w:sz w:val="24"/>
          <w:szCs w:val="24"/>
        </w:rPr>
        <w:t xml:space="preserve">The overall impression from the parent interviews was a clear focus </w:t>
      </w:r>
      <w:r w:rsidR="00C56413">
        <w:rPr>
          <w:rFonts w:asciiTheme="majorHAnsi" w:hAnsiTheme="majorHAnsi" w:cstheme="majorHAnsi"/>
          <w:sz w:val="24"/>
          <w:szCs w:val="24"/>
        </w:rPr>
        <w:t>on the importance of</w:t>
      </w:r>
      <w:r>
        <w:rPr>
          <w:rFonts w:asciiTheme="majorHAnsi" w:hAnsiTheme="majorHAnsi" w:cstheme="majorHAnsi"/>
          <w:sz w:val="24"/>
          <w:szCs w:val="24"/>
        </w:rPr>
        <w:t xml:space="preserve"> lifetime outcomes for their child.  </w:t>
      </w:r>
    </w:p>
    <w:p w14:paraId="20DF8385" w14:textId="77777777" w:rsidR="00F708A5" w:rsidRPr="00465C79" w:rsidRDefault="00F708A5" w:rsidP="00F708A5">
      <w:pPr>
        <w:rPr>
          <w:rFonts w:asciiTheme="majorHAnsi" w:hAnsiTheme="majorHAnsi" w:cstheme="majorHAnsi"/>
          <w:sz w:val="24"/>
          <w:szCs w:val="24"/>
        </w:rPr>
      </w:pPr>
      <w:r w:rsidRPr="00465C79">
        <w:rPr>
          <w:rFonts w:asciiTheme="majorHAnsi" w:hAnsiTheme="majorHAnsi" w:cstheme="majorHAnsi"/>
          <w:sz w:val="24"/>
          <w:szCs w:val="24"/>
        </w:rPr>
        <w:t>Professionals working in this area also express a clear focus on outcomes, both in education and in wider life. However, some have suggested that specialist professionals and mainstream class teachers alike do not speak to young people often enough on the topic of their options and aspirations. One professional felt strongly that discussions about adulthood should be included right from the first conversation about a child, and should balance the child’s interests and personal goals, with an honest acknowledgement of the child’s challenges and need. Possibly because these balanced conversations do not happen routinely, parents express that conversations about transition points can feel confusing, and disjointed, rather than a natural progression of an existing conversations.</w:t>
      </w:r>
    </w:p>
    <w:p w14:paraId="39C53A84" w14:textId="00E66023" w:rsidR="00F708A5" w:rsidRPr="009B2A00" w:rsidRDefault="00F708A5" w:rsidP="00F708A5">
      <w:pPr>
        <w:rPr>
          <w:rFonts w:asciiTheme="majorHAnsi" w:hAnsiTheme="majorHAnsi" w:cstheme="majorHAnsi"/>
          <w:b/>
          <w:sz w:val="24"/>
          <w:szCs w:val="24"/>
        </w:rPr>
      </w:pPr>
      <w:r w:rsidRPr="009B2A00">
        <w:rPr>
          <w:rFonts w:asciiTheme="majorHAnsi" w:hAnsiTheme="majorHAnsi" w:cstheme="majorHAnsi"/>
          <w:b/>
          <w:sz w:val="24"/>
          <w:szCs w:val="24"/>
        </w:rPr>
        <w:lastRenderedPageBreak/>
        <w:t>Recommendation: As part of the</w:t>
      </w:r>
      <w:r>
        <w:rPr>
          <w:rFonts w:asciiTheme="majorHAnsi" w:hAnsiTheme="majorHAnsi" w:cstheme="majorHAnsi"/>
          <w:b/>
          <w:sz w:val="24"/>
          <w:szCs w:val="24"/>
        </w:rPr>
        <w:t xml:space="preserve"> SEND Improvement Board’s</w:t>
      </w:r>
      <w:r w:rsidRPr="009B2A00">
        <w:rPr>
          <w:rFonts w:asciiTheme="majorHAnsi" w:hAnsiTheme="majorHAnsi" w:cstheme="majorHAnsi"/>
          <w:b/>
          <w:sz w:val="24"/>
          <w:szCs w:val="24"/>
        </w:rPr>
        <w:t xml:space="preserve"> planned deep dive case reviews, explore further the theme of parental engagement and agency around the topic of transitions and preparation </w:t>
      </w:r>
      <w:r>
        <w:rPr>
          <w:rFonts w:asciiTheme="majorHAnsi" w:hAnsiTheme="majorHAnsi" w:cstheme="majorHAnsi"/>
          <w:b/>
          <w:sz w:val="24"/>
          <w:szCs w:val="24"/>
        </w:rPr>
        <w:t xml:space="preserve">for adulthood, this should be done in partnership with the parents. </w:t>
      </w:r>
    </w:p>
    <w:p w14:paraId="5E62B271" w14:textId="77777777" w:rsidR="00F708A5" w:rsidRPr="008F3229" w:rsidRDefault="00F708A5" w:rsidP="00F708A5">
      <w:pPr>
        <w:rPr>
          <w:rFonts w:asciiTheme="majorHAnsi" w:hAnsiTheme="majorHAnsi" w:cstheme="majorHAnsi"/>
          <w:sz w:val="24"/>
          <w:szCs w:val="24"/>
        </w:rPr>
      </w:pPr>
    </w:p>
    <w:p w14:paraId="0B6486C0" w14:textId="77777777" w:rsidR="00F708A5" w:rsidRPr="00545AB3" w:rsidRDefault="00F708A5" w:rsidP="00545AB3">
      <w:pPr>
        <w:pStyle w:val="Heading2"/>
        <w:rPr>
          <w:rFonts w:cstheme="majorHAnsi"/>
          <w:sz w:val="24"/>
          <w:szCs w:val="24"/>
        </w:rPr>
      </w:pPr>
      <w:bookmarkStart w:id="39" w:name="_Toc58575099"/>
      <w:r w:rsidRPr="00545AB3">
        <w:rPr>
          <w:rFonts w:cstheme="majorHAnsi"/>
          <w:sz w:val="24"/>
          <w:szCs w:val="24"/>
        </w:rPr>
        <w:t>Participation and NEET</w:t>
      </w:r>
      <w:bookmarkEnd w:id="39"/>
      <w:r w:rsidRPr="00545AB3">
        <w:rPr>
          <w:rFonts w:cstheme="majorHAnsi"/>
          <w:sz w:val="24"/>
          <w:szCs w:val="24"/>
        </w:rPr>
        <w:t xml:space="preserve"> </w:t>
      </w:r>
    </w:p>
    <w:p w14:paraId="2A92243B" w14:textId="77777777" w:rsidR="00F708A5" w:rsidRPr="00EB4A49" w:rsidRDefault="00F708A5" w:rsidP="00F708A5">
      <w:pPr>
        <w:rPr>
          <w:rFonts w:asciiTheme="majorHAnsi" w:hAnsiTheme="majorHAnsi" w:cstheme="majorHAnsi"/>
          <w:sz w:val="24"/>
          <w:szCs w:val="24"/>
        </w:rPr>
      </w:pPr>
      <w:r w:rsidRPr="00EB4A49">
        <w:rPr>
          <w:rFonts w:asciiTheme="majorHAnsi" w:hAnsiTheme="majorHAnsi" w:cstheme="majorHAnsi"/>
          <w:sz w:val="24"/>
          <w:szCs w:val="24"/>
        </w:rPr>
        <w:t xml:space="preserve">All young people are highly encouraged to be in employment, education, or training between the ages of 16-19, under ‘raising the participation age’ initiative. </w:t>
      </w:r>
    </w:p>
    <w:p w14:paraId="4384B2EA" w14:textId="77777777" w:rsidR="00F708A5" w:rsidRPr="00EB4A49" w:rsidRDefault="00F708A5" w:rsidP="00F708A5">
      <w:pPr>
        <w:rPr>
          <w:rFonts w:asciiTheme="majorHAnsi" w:hAnsiTheme="majorHAnsi" w:cstheme="majorHAnsi"/>
          <w:sz w:val="24"/>
          <w:szCs w:val="24"/>
        </w:rPr>
      </w:pPr>
      <w:r w:rsidRPr="00EB4A49">
        <w:rPr>
          <w:rFonts w:asciiTheme="majorHAnsi" w:hAnsiTheme="majorHAnsi" w:cstheme="majorHAnsi"/>
          <w:sz w:val="24"/>
          <w:szCs w:val="24"/>
        </w:rPr>
        <w:t xml:space="preserve">In York 84% of young people meet this by engaging in full time education and/or training, 7% through apprenticeship, and 2% through either work based learning or employment combined with study. </w:t>
      </w:r>
    </w:p>
    <w:p w14:paraId="54D09FC9" w14:textId="77777777" w:rsidR="00F708A5" w:rsidRPr="00EB4A49" w:rsidRDefault="00F708A5" w:rsidP="00F708A5">
      <w:pPr>
        <w:rPr>
          <w:rFonts w:asciiTheme="majorHAnsi" w:hAnsiTheme="majorHAnsi" w:cstheme="majorHAnsi"/>
          <w:b/>
          <w:sz w:val="24"/>
          <w:szCs w:val="24"/>
        </w:rPr>
      </w:pPr>
      <w:r w:rsidRPr="00EB4A49">
        <w:rPr>
          <w:noProof/>
          <w:sz w:val="24"/>
          <w:szCs w:val="24"/>
          <w:lang w:eastAsia="en-GB"/>
        </w:rPr>
        <w:drawing>
          <wp:inline distT="0" distB="0" distL="0" distR="0" wp14:anchorId="56918DB9" wp14:editId="28F6CE12">
            <wp:extent cx="5560220" cy="2880000"/>
            <wp:effectExtent l="0" t="0" r="254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8D044B" w14:textId="3BC67BAE" w:rsidR="00F708A5" w:rsidRPr="00EB4A49" w:rsidRDefault="00F708A5" w:rsidP="00F708A5">
      <w:pPr>
        <w:rPr>
          <w:rFonts w:asciiTheme="majorHAnsi" w:hAnsiTheme="majorHAnsi" w:cstheme="majorHAnsi"/>
          <w:sz w:val="24"/>
          <w:szCs w:val="24"/>
        </w:rPr>
      </w:pPr>
      <w:r w:rsidRPr="00EB4A49">
        <w:rPr>
          <w:rFonts w:asciiTheme="majorHAnsi" w:hAnsiTheme="majorHAnsi" w:cstheme="majorHAnsi"/>
          <w:sz w:val="24"/>
          <w:szCs w:val="24"/>
        </w:rPr>
        <w:t>Overall, York has a strong participation rate among 16/17 years old, with 95% of young people confirmed to be in employment, education, or training. This is slightly higher than the national average participation rates.</w:t>
      </w:r>
      <w:r w:rsidR="00C56413">
        <w:rPr>
          <w:rFonts w:asciiTheme="majorHAnsi" w:hAnsiTheme="majorHAnsi" w:cstheme="majorHAnsi"/>
          <w:sz w:val="24"/>
          <w:szCs w:val="24"/>
        </w:rPr>
        <w:t xml:space="preserve"> </w:t>
      </w:r>
      <w:r w:rsidRPr="00EB4A49">
        <w:rPr>
          <w:rFonts w:asciiTheme="majorHAnsi" w:hAnsiTheme="majorHAnsi" w:cstheme="majorHAnsi"/>
          <w:sz w:val="24"/>
          <w:szCs w:val="24"/>
        </w:rPr>
        <w:t>Participation rat</w:t>
      </w:r>
      <w:r w:rsidR="0056031C">
        <w:rPr>
          <w:rFonts w:asciiTheme="majorHAnsi" w:hAnsiTheme="majorHAnsi" w:cstheme="majorHAnsi"/>
          <w:sz w:val="24"/>
          <w:szCs w:val="24"/>
        </w:rPr>
        <w:t>e</w:t>
      </w:r>
      <w:r w:rsidR="00C56413">
        <w:rPr>
          <w:rFonts w:asciiTheme="majorHAnsi" w:hAnsiTheme="majorHAnsi" w:cstheme="majorHAnsi"/>
          <w:sz w:val="24"/>
          <w:szCs w:val="24"/>
        </w:rPr>
        <w:t>s are strong</w:t>
      </w:r>
      <w:r w:rsidRPr="00EB4A49">
        <w:rPr>
          <w:rFonts w:asciiTheme="majorHAnsi" w:hAnsiTheme="majorHAnsi" w:cstheme="majorHAnsi"/>
          <w:sz w:val="24"/>
          <w:szCs w:val="24"/>
        </w:rPr>
        <w:t xml:space="preserve"> for pupils who had an EHCP at 16 years old, this is where York exceeds the national average. This </w:t>
      </w:r>
      <w:r>
        <w:rPr>
          <w:rFonts w:asciiTheme="majorHAnsi" w:hAnsiTheme="majorHAnsi" w:cstheme="majorHAnsi"/>
          <w:sz w:val="24"/>
          <w:szCs w:val="24"/>
        </w:rPr>
        <w:t>reflects the</w:t>
      </w:r>
      <w:r w:rsidRPr="00EB4A49">
        <w:rPr>
          <w:rFonts w:asciiTheme="majorHAnsi" w:hAnsiTheme="majorHAnsi" w:cstheme="majorHAnsi"/>
          <w:sz w:val="24"/>
          <w:szCs w:val="24"/>
        </w:rPr>
        <w:t xml:space="preserve"> strategic focus on securing educational and vocational training programs for pupils with EHCP.  In comparison, 11% of pupils who previo</w:t>
      </w:r>
      <w:r>
        <w:rPr>
          <w:rFonts w:asciiTheme="majorHAnsi" w:hAnsiTheme="majorHAnsi" w:cstheme="majorHAnsi"/>
          <w:sz w:val="24"/>
          <w:szCs w:val="24"/>
        </w:rPr>
        <w:t xml:space="preserve">usly had Sen-Support are ‘NEET’. </w:t>
      </w:r>
      <w:r w:rsidRPr="00EB4A49">
        <w:rPr>
          <w:rFonts w:asciiTheme="majorHAnsi" w:hAnsiTheme="majorHAnsi" w:cstheme="majorHAnsi"/>
          <w:sz w:val="24"/>
          <w:szCs w:val="24"/>
        </w:rPr>
        <w:t>This is roughly in line with the national average, but is in contrast with the strong partic</w:t>
      </w:r>
      <w:r w:rsidR="00B50ABF">
        <w:rPr>
          <w:rFonts w:asciiTheme="majorHAnsi" w:hAnsiTheme="majorHAnsi" w:cstheme="majorHAnsi"/>
          <w:sz w:val="24"/>
          <w:szCs w:val="24"/>
        </w:rPr>
        <w:t xml:space="preserve">ipation rates for other pupils EHCP </w:t>
      </w:r>
      <w:r w:rsidRPr="00EB4A49">
        <w:rPr>
          <w:rFonts w:asciiTheme="majorHAnsi" w:hAnsiTheme="majorHAnsi" w:cstheme="majorHAnsi"/>
          <w:sz w:val="24"/>
          <w:szCs w:val="24"/>
        </w:rPr>
        <w:t>in York.</w:t>
      </w:r>
    </w:p>
    <w:p w14:paraId="71DBF6BB" w14:textId="7DCC0704" w:rsidR="00F708A5" w:rsidRPr="00EB4A49" w:rsidRDefault="00F708A5" w:rsidP="00F708A5">
      <w:pPr>
        <w:rPr>
          <w:rFonts w:asciiTheme="majorHAnsi" w:hAnsiTheme="majorHAnsi" w:cstheme="majorHAnsi"/>
          <w:sz w:val="24"/>
          <w:szCs w:val="24"/>
        </w:rPr>
      </w:pPr>
      <w:r w:rsidRPr="00EB4A49">
        <w:rPr>
          <w:rFonts w:asciiTheme="majorHAnsi" w:hAnsiTheme="majorHAnsi" w:cstheme="majorHAnsi"/>
          <w:sz w:val="24"/>
          <w:szCs w:val="24"/>
        </w:rPr>
        <w:t>Participation is also recorded two years later, when young peopl</w:t>
      </w:r>
      <w:r>
        <w:rPr>
          <w:rFonts w:asciiTheme="majorHAnsi" w:hAnsiTheme="majorHAnsi" w:cstheme="majorHAnsi"/>
          <w:sz w:val="24"/>
          <w:szCs w:val="24"/>
        </w:rPr>
        <w:t>e are aged 18/19. At this point</w:t>
      </w:r>
      <w:r w:rsidRPr="00EB4A49">
        <w:rPr>
          <w:rFonts w:asciiTheme="majorHAnsi" w:hAnsiTheme="majorHAnsi" w:cstheme="majorHAnsi"/>
          <w:sz w:val="24"/>
          <w:szCs w:val="24"/>
        </w:rPr>
        <w:t xml:space="preserve">. </w:t>
      </w:r>
      <w:r w:rsidR="00532E81">
        <w:rPr>
          <w:rFonts w:asciiTheme="majorHAnsi" w:hAnsiTheme="majorHAnsi" w:cstheme="majorHAnsi"/>
          <w:sz w:val="24"/>
          <w:szCs w:val="24"/>
        </w:rPr>
        <w:t xml:space="preserve">This data </w:t>
      </w:r>
      <w:r w:rsidRPr="00EB4A49">
        <w:rPr>
          <w:rFonts w:asciiTheme="majorHAnsi" w:hAnsiTheme="majorHAnsi" w:cstheme="majorHAnsi"/>
          <w:sz w:val="24"/>
          <w:szCs w:val="24"/>
        </w:rPr>
        <w:t xml:space="preserve">suggests markedly lower participation rates for pupils </w:t>
      </w:r>
      <w:r w:rsidR="00532E81">
        <w:rPr>
          <w:rFonts w:asciiTheme="majorHAnsi" w:hAnsiTheme="majorHAnsi" w:cstheme="majorHAnsi"/>
          <w:sz w:val="24"/>
          <w:szCs w:val="24"/>
        </w:rPr>
        <w:t>who had an EHCP/Sen-support</w:t>
      </w:r>
      <w:r w:rsidRPr="00EB4A49">
        <w:rPr>
          <w:rFonts w:asciiTheme="majorHAnsi" w:hAnsiTheme="majorHAnsi" w:cstheme="majorHAnsi"/>
          <w:sz w:val="24"/>
          <w:szCs w:val="24"/>
        </w:rPr>
        <w:t>. This sits in contrast to both the participation rates for non-SEND young people in York, and also for SEND pupils nationally. This is identified as a priority for York, the City of York education team are intending to carry out and audit of pupils with SEN</w:t>
      </w:r>
      <w:r w:rsidR="00911F35">
        <w:rPr>
          <w:rFonts w:asciiTheme="majorHAnsi" w:hAnsiTheme="majorHAnsi" w:cstheme="majorHAnsi"/>
          <w:sz w:val="24"/>
          <w:szCs w:val="24"/>
        </w:rPr>
        <w:t>D</w:t>
      </w:r>
      <w:r w:rsidRPr="00EB4A49">
        <w:rPr>
          <w:rFonts w:asciiTheme="majorHAnsi" w:hAnsiTheme="majorHAnsi" w:cstheme="majorHAnsi"/>
          <w:sz w:val="24"/>
          <w:szCs w:val="24"/>
        </w:rPr>
        <w:t xml:space="preserve"> support who have ‘dropped out’ part way through a course and are no longer attending their college placements. </w:t>
      </w:r>
    </w:p>
    <w:p w14:paraId="1E95463E" w14:textId="1BCB381C" w:rsidR="00F708A5" w:rsidRPr="00465C79" w:rsidRDefault="00F708A5" w:rsidP="00F708A5">
      <w:pPr>
        <w:rPr>
          <w:rFonts w:asciiTheme="majorHAnsi" w:hAnsiTheme="majorHAnsi" w:cstheme="majorHAnsi"/>
          <w:b/>
          <w:sz w:val="24"/>
          <w:szCs w:val="24"/>
        </w:rPr>
      </w:pPr>
      <w:r w:rsidRPr="00465C79">
        <w:rPr>
          <w:rFonts w:asciiTheme="majorHAnsi" w:hAnsiTheme="majorHAnsi" w:cstheme="majorHAnsi"/>
          <w:b/>
          <w:sz w:val="24"/>
          <w:szCs w:val="24"/>
        </w:rPr>
        <w:lastRenderedPageBreak/>
        <w:t xml:space="preserve">Recommendation: For the York SEND Improvement board to </w:t>
      </w:r>
      <w:r>
        <w:rPr>
          <w:rFonts w:asciiTheme="majorHAnsi" w:hAnsiTheme="majorHAnsi" w:cstheme="majorHAnsi"/>
          <w:b/>
          <w:sz w:val="24"/>
          <w:szCs w:val="24"/>
        </w:rPr>
        <w:t xml:space="preserve">include pupils with SEN-support plans in the planned deep dive audit into cases. In particular, to include young people, parents, and settings in a conversation </w:t>
      </w:r>
      <w:r w:rsidR="00B50ABF">
        <w:rPr>
          <w:rFonts w:asciiTheme="majorHAnsi" w:hAnsiTheme="majorHAnsi" w:cstheme="majorHAnsi"/>
          <w:b/>
          <w:sz w:val="24"/>
          <w:szCs w:val="24"/>
        </w:rPr>
        <w:t>for</w:t>
      </w:r>
      <w:r>
        <w:rPr>
          <w:rFonts w:asciiTheme="majorHAnsi" w:hAnsiTheme="majorHAnsi" w:cstheme="majorHAnsi"/>
          <w:b/>
          <w:sz w:val="24"/>
          <w:szCs w:val="24"/>
        </w:rPr>
        <w:t xml:space="preserve"> who</w:t>
      </w:r>
      <w:r w:rsidR="00B50ABF">
        <w:rPr>
          <w:rFonts w:asciiTheme="majorHAnsi" w:hAnsiTheme="majorHAnsi" w:cstheme="majorHAnsi"/>
          <w:b/>
          <w:sz w:val="24"/>
          <w:szCs w:val="24"/>
        </w:rPr>
        <w:t>m</w:t>
      </w:r>
      <w:r>
        <w:rPr>
          <w:rFonts w:asciiTheme="majorHAnsi" w:hAnsiTheme="majorHAnsi" w:cstheme="majorHAnsi"/>
          <w:b/>
          <w:sz w:val="24"/>
          <w:szCs w:val="24"/>
        </w:rPr>
        <w:t xml:space="preserve"> college or sixth form placements were or were not successful. </w:t>
      </w:r>
    </w:p>
    <w:p w14:paraId="5FB477FC" w14:textId="77777777" w:rsidR="00F708A5" w:rsidRPr="00EB4A49" w:rsidRDefault="00F708A5" w:rsidP="00F708A5">
      <w:pPr>
        <w:rPr>
          <w:rFonts w:asciiTheme="majorHAnsi" w:hAnsiTheme="majorHAnsi" w:cstheme="majorHAnsi"/>
          <w:b/>
          <w:i/>
          <w:sz w:val="24"/>
          <w:szCs w:val="24"/>
        </w:rPr>
      </w:pPr>
    </w:p>
    <w:p w14:paraId="296BF8FB" w14:textId="77777777" w:rsidR="00F708A5" w:rsidRPr="00EB4A49" w:rsidRDefault="00F708A5" w:rsidP="00F708A5">
      <w:pPr>
        <w:pStyle w:val="Heading2"/>
        <w:rPr>
          <w:rFonts w:cstheme="majorHAnsi"/>
          <w:sz w:val="24"/>
          <w:szCs w:val="24"/>
        </w:rPr>
      </w:pPr>
      <w:bookmarkStart w:id="40" w:name="_Toc58575100"/>
      <w:r w:rsidRPr="00EB4A49">
        <w:rPr>
          <w:rFonts w:cstheme="majorHAnsi"/>
          <w:sz w:val="24"/>
          <w:szCs w:val="24"/>
        </w:rPr>
        <w:t>Adulthood outcomes</w:t>
      </w:r>
      <w:bookmarkEnd w:id="40"/>
      <w:r w:rsidRPr="00EB4A49">
        <w:rPr>
          <w:rFonts w:cstheme="majorHAnsi"/>
          <w:sz w:val="24"/>
          <w:szCs w:val="24"/>
        </w:rPr>
        <w:t xml:space="preserve"> </w:t>
      </w:r>
    </w:p>
    <w:p w14:paraId="4BF9AF1D" w14:textId="4AAB0D8F" w:rsidR="00532E81" w:rsidRDefault="00F708A5" w:rsidP="00F708A5">
      <w:pPr>
        <w:rPr>
          <w:rFonts w:asciiTheme="majorHAnsi" w:hAnsiTheme="majorHAnsi" w:cstheme="majorHAnsi"/>
          <w:sz w:val="24"/>
          <w:szCs w:val="24"/>
        </w:rPr>
      </w:pPr>
      <w:r w:rsidRPr="00EB4A49">
        <w:rPr>
          <w:rFonts w:asciiTheme="majorHAnsi" w:hAnsiTheme="majorHAnsi" w:cstheme="majorHAnsi"/>
          <w:sz w:val="24"/>
          <w:szCs w:val="24"/>
        </w:rPr>
        <w:t xml:space="preserve">The ultimate outcome for all residents is that our collective efforts enable people to </w:t>
      </w:r>
      <w:r w:rsidR="00532E81">
        <w:rPr>
          <w:rFonts w:asciiTheme="majorHAnsi" w:hAnsiTheme="majorHAnsi" w:cstheme="majorHAnsi"/>
          <w:sz w:val="24"/>
          <w:szCs w:val="24"/>
        </w:rPr>
        <w:t xml:space="preserve">live fulfilling lives. </w:t>
      </w:r>
      <w:r w:rsidR="00532E81" w:rsidRPr="00EB4A49">
        <w:rPr>
          <w:rFonts w:asciiTheme="majorHAnsi" w:hAnsiTheme="majorHAnsi" w:cstheme="majorHAnsi"/>
          <w:sz w:val="24"/>
          <w:szCs w:val="24"/>
        </w:rPr>
        <w:t xml:space="preserve">This is significant because we know that people with learning disabilities, physical disabilities, or neurodiversity </w:t>
      </w:r>
      <w:r w:rsidR="00532E81">
        <w:rPr>
          <w:rFonts w:asciiTheme="majorHAnsi" w:hAnsiTheme="majorHAnsi" w:cstheme="majorHAnsi"/>
          <w:sz w:val="24"/>
          <w:szCs w:val="24"/>
        </w:rPr>
        <w:t xml:space="preserve">challenges </w:t>
      </w:r>
      <w:r w:rsidR="00532E81" w:rsidRPr="00EB4A49">
        <w:rPr>
          <w:rFonts w:asciiTheme="majorHAnsi" w:hAnsiTheme="majorHAnsi" w:cstheme="majorHAnsi"/>
          <w:sz w:val="24"/>
          <w:szCs w:val="24"/>
        </w:rPr>
        <w:t>are less likely to have stable em</w:t>
      </w:r>
      <w:r w:rsidR="00532E81">
        <w:rPr>
          <w:rFonts w:asciiTheme="majorHAnsi" w:hAnsiTheme="majorHAnsi" w:cstheme="majorHAnsi"/>
          <w:sz w:val="24"/>
          <w:szCs w:val="24"/>
        </w:rPr>
        <w:t xml:space="preserve">ployment, </w:t>
      </w:r>
      <w:r w:rsidR="00532E81" w:rsidRPr="00EB4A49">
        <w:rPr>
          <w:rFonts w:asciiTheme="majorHAnsi" w:hAnsiTheme="majorHAnsi" w:cstheme="majorHAnsi"/>
          <w:sz w:val="24"/>
          <w:szCs w:val="24"/>
        </w:rPr>
        <w:t>more likely to go to pris</w:t>
      </w:r>
      <w:r w:rsidR="00532E81">
        <w:rPr>
          <w:rFonts w:asciiTheme="majorHAnsi" w:hAnsiTheme="majorHAnsi" w:cstheme="majorHAnsi"/>
          <w:sz w:val="24"/>
          <w:szCs w:val="24"/>
        </w:rPr>
        <w:t>on or be</w:t>
      </w:r>
      <w:r w:rsidR="00532E81" w:rsidRPr="00EB4A49">
        <w:rPr>
          <w:rFonts w:asciiTheme="majorHAnsi" w:hAnsiTheme="majorHAnsi" w:cstheme="majorHAnsi"/>
          <w:sz w:val="24"/>
          <w:szCs w:val="24"/>
        </w:rPr>
        <w:t xml:space="preserve"> a victim of crime, and more likely to stay living with parents well into adulthood, and in many cases die prematurely.</w:t>
      </w:r>
    </w:p>
    <w:p w14:paraId="3CC5780B" w14:textId="49E9826F" w:rsidR="00F708A5" w:rsidRPr="00EB4A49" w:rsidRDefault="00532E81" w:rsidP="00F708A5">
      <w:pPr>
        <w:rPr>
          <w:rFonts w:asciiTheme="majorHAnsi" w:hAnsiTheme="majorHAnsi" w:cstheme="majorHAnsi"/>
          <w:sz w:val="24"/>
          <w:szCs w:val="24"/>
        </w:rPr>
      </w:pPr>
      <w:r>
        <w:rPr>
          <w:rFonts w:asciiTheme="majorHAnsi" w:hAnsiTheme="majorHAnsi" w:cstheme="majorHAnsi"/>
          <w:sz w:val="24"/>
          <w:szCs w:val="24"/>
        </w:rPr>
        <w:t xml:space="preserve">This reaches across many teams, projects, and departments, and moves beyond a focus on the delivery of individual services, towards a focus on ensuring a highly connected effective system. However, </w:t>
      </w:r>
      <w:r w:rsidR="00F708A5" w:rsidRPr="00EB4A49">
        <w:rPr>
          <w:rFonts w:asciiTheme="majorHAnsi" w:hAnsiTheme="majorHAnsi" w:cstheme="majorHAnsi"/>
          <w:sz w:val="24"/>
          <w:szCs w:val="24"/>
        </w:rPr>
        <w:t xml:space="preserve">the current data linkage routes are not set up to </w:t>
      </w:r>
      <w:r>
        <w:rPr>
          <w:rFonts w:asciiTheme="majorHAnsi" w:hAnsiTheme="majorHAnsi" w:cstheme="majorHAnsi"/>
          <w:sz w:val="24"/>
          <w:szCs w:val="24"/>
        </w:rPr>
        <w:t xml:space="preserve">support this. </w:t>
      </w:r>
      <w:r w:rsidR="00F708A5" w:rsidRPr="00EB4A49">
        <w:rPr>
          <w:rFonts w:asciiTheme="majorHAnsi" w:hAnsiTheme="majorHAnsi" w:cstheme="majorHAnsi"/>
          <w:sz w:val="24"/>
          <w:szCs w:val="24"/>
        </w:rPr>
        <w:t>The SEN</w:t>
      </w:r>
      <w:r w:rsidR="00911F35">
        <w:rPr>
          <w:rFonts w:asciiTheme="majorHAnsi" w:hAnsiTheme="majorHAnsi" w:cstheme="majorHAnsi"/>
          <w:sz w:val="24"/>
          <w:szCs w:val="24"/>
        </w:rPr>
        <w:t>D</w:t>
      </w:r>
      <w:r w:rsidR="00F708A5" w:rsidRPr="00EB4A49">
        <w:rPr>
          <w:rFonts w:asciiTheme="majorHAnsi" w:hAnsiTheme="majorHAnsi" w:cstheme="majorHAnsi"/>
          <w:sz w:val="24"/>
          <w:szCs w:val="24"/>
        </w:rPr>
        <w:t xml:space="preserve"> improvement board have identified this a priority.  </w:t>
      </w:r>
    </w:p>
    <w:p w14:paraId="7E9B15BC" w14:textId="5895BBAF" w:rsidR="00F708A5" w:rsidRPr="00EB4A49" w:rsidRDefault="00F708A5" w:rsidP="00F708A5">
      <w:pPr>
        <w:rPr>
          <w:rFonts w:asciiTheme="majorHAnsi" w:hAnsiTheme="majorHAnsi" w:cstheme="majorHAnsi"/>
          <w:b/>
          <w:sz w:val="24"/>
          <w:szCs w:val="24"/>
        </w:rPr>
      </w:pPr>
      <w:bookmarkStart w:id="41" w:name="_GoBack"/>
      <w:bookmarkEnd w:id="41"/>
      <w:r w:rsidRPr="00EB4A49">
        <w:rPr>
          <w:rFonts w:asciiTheme="majorHAnsi" w:hAnsiTheme="majorHAnsi" w:cstheme="majorHAnsi"/>
          <w:b/>
          <w:sz w:val="24"/>
          <w:szCs w:val="24"/>
        </w:rPr>
        <w:t>Recommendation: For the SEND Improvement board to identify opportunities for whole lifetime outcome collection and identify risks where this is not possible.</w:t>
      </w:r>
      <w:r w:rsidR="00B50ABF">
        <w:rPr>
          <w:rFonts w:asciiTheme="majorHAnsi" w:hAnsiTheme="majorHAnsi" w:cstheme="majorHAnsi"/>
          <w:b/>
          <w:sz w:val="24"/>
          <w:szCs w:val="24"/>
        </w:rPr>
        <w:t xml:space="preserve"> For the improvement board to continue with its plans to c</w:t>
      </w:r>
      <w:r>
        <w:rPr>
          <w:rFonts w:asciiTheme="majorHAnsi" w:hAnsiTheme="majorHAnsi" w:cstheme="majorHAnsi"/>
          <w:b/>
          <w:sz w:val="24"/>
          <w:szCs w:val="24"/>
        </w:rPr>
        <w:t>arry out</w:t>
      </w:r>
      <w:r w:rsidRPr="00EB4A49">
        <w:rPr>
          <w:rFonts w:asciiTheme="majorHAnsi" w:hAnsiTheme="majorHAnsi" w:cstheme="majorHAnsi"/>
          <w:b/>
          <w:sz w:val="24"/>
          <w:szCs w:val="24"/>
        </w:rPr>
        <w:t xml:space="preserve"> a review to ‘look backwards’ from adults in York to identify possible earlier intervention points in childhood and young adulthood. </w:t>
      </w:r>
    </w:p>
    <w:p w14:paraId="1E9DC20A" w14:textId="77777777" w:rsidR="00F708A5" w:rsidRPr="00EB4A49" w:rsidRDefault="00F708A5" w:rsidP="00F708A5">
      <w:pPr>
        <w:rPr>
          <w:rFonts w:asciiTheme="majorHAnsi" w:hAnsiTheme="majorHAnsi" w:cstheme="majorHAnsi"/>
          <w:b/>
          <w:sz w:val="24"/>
          <w:szCs w:val="24"/>
        </w:rPr>
      </w:pPr>
    </w:p>
    <w:p w14:paraId="2529AD1C" w14:textId="77777777" w:rsidR="00177DBD" w:rsidRPr="009D20B5" w:rsidRDefault="00177DBD" w:rsidP="00177DBD">
      <w:pPr>
        <w:pStyle w:val="Heading1"/>
        <w:rPr>
          <w:rFonts w:cstheme="majorHAnsi"/>
          <w:b/>
          <w:sz w:val="24"/>
          <w:szCs w:val="24"/>
        </w:rPr>
      </w:pPr>
      <w:bookmarkStart w:id="42" w:name="_Toc58575101"/>
      <w:r w:rsidRPr="009D20B5">
        <w:rPr>
          <w:rFonts w:cstheme="majorHAnsi"/>
          <w:b/>
          <w:sz w:val="24"/>
          <w:szCs w:val="24"/>
        </w:rPr>
        <w:t>Need projections</w:t>
      </w:r>
      <w:bookmarkEnd w:id="42"/>
      <w:r w:rsidRPr="009D20B5">
        <w:rPr>
          <w:rFonts w:cstheme="majorHAnsi"/>
          <w:b/>
          <w:sz w:val="24"/>
          <w:szCs w:val="24"/>
        </w:rPr>
        <w:t xml:space="preserve"> </w:t>
      </w:r>
    </w:p>
    <w:p w14:paraId="4AE2DCD8" w14:textId="77777777" w:rsidR="00692E32" w:rsidRDefault="00692E32" w:rsidP="00BF41D7">
      <w:pPr>
        <w:rPr>
          <w:rFonts w:asciiTheme="majorHAnsi" w:hAnsiTheme="majorHAnsi" w:cstheme="majorHAnsi"/>
          <w:sz w:val="24"/>
          <w:szCs w:val="24"/>
        </w:rPr>
      </w:pPr>
    </w:p>
    <w:p w14:paraId="7C3F23DB" w14:textId="77777777" w:rsidR="006E77B3" w:rsidRDefault="006E77B3" w:rsidP="00BF41D7">
      <w:pPr>
        <w:rPr>
          <w:rFonts w:asciiTheme="majorHAnsi" w:hAnsiTheme="majorHAnsi" w:cstheme="majorHAnsi"/>
          <w:sz w:val="24"/>
          <w:szCs w:val="24"/>
        </w:rPr>
      </w:pPr>
      <w:r>
        <w:rPr>
          <w:rFonts w:asciiTheme="majorHAnsi" w:hAnsiTheme="majorHAnsi" w:cstheme="majorHAnsi"/>
          <w:sz w:val="24"/>
          <w:szCs w:val="24"/>
        </w:rPr>
        <w:t xml:space="preserve">Projecting needs is important for the coproduced commissioning cycle in order that services are suited to the population as it will be, not the population as it is now. This is also an important opportunity for parents to support, as many parents in interview were motivated to be part of planning for services for future children and families. </w:t>
      </w:r>
    </w:p>
    <w:p w14:paraId="1D4F7D26" w14:textId="77777777" w:rsidR="00BF41D7" w:rsidRPr="00692E32" w:rsidRDefault="00955687" w:rsidP="00BF41D7">
      <w:pPr>
        <w:rPr>
          <w:rFonts w:asciiTheme="majorHAnsi" w:hAnsiTheme="majorHAnsi" w:cstheme="majorHAnsi"/>
          <w:sz w:val="24"/>
          <w:szCs w:val="24"/>
        </w:rPr>
      </w:pPr>
      <w:r w:rsidRPr="00692E32">
        <w:rPr>
          <w:rFonts w:asciiTheme="majorHAnsi" w:hAnsiTheme="majorHAnsi" w:cstheme="majorHAnsi"/>
          <w:sz w:val="24"/>
          <w:szCs w:val="24"/>
        </w:rPr>
        <w:t xml:space="preserve">The young child population of York is expected to be relatively </w:t>
      </w:r>
      <w:r w:rsidR="00BF41D7" w:rsidRPr="00692E32">
        <w:rPr>
          <w:rFonts w:asciiTheme="majorHAnsi" w:hAnsiTheme="majorHAnsi" w:cstheme="majorHAnsi"/>
          <w:sz w:val="24"/>
          <w:szCs w:val="24"/>
        </w:rPr>
        <w:t xml:space="preserve">consistent due to a low and </w:t>
      </w:r>
      <w:r w:rsidR="003C35BA" w:rsidRPr="00692E32">
        <w:rPr>
          <w:rFonts w:asciiTheme="majorHAnsi" w:hAnsiTheme="majorHAnsi" w:cstheme="majorHAnsi"/>
          <w:sz w:val="24"/>
          <w:szCs w:val="24"/>
        </w:rPr>
        <w:t>stable birth rate, and</w:t>
      </w:r>
      <w:r w:rsidRPr="00692E32">
        <w:rPr>
          <w:rFonts w:asciiTheme="majorHAnsi" w:hAnsiTheme="majorHAnsi" w:cstheme="majorHAnsi"/>
          <w:sz w:val="24"/>
          <w:szCs w:val="24"/>
        </w:rPr>
        <w:t xml:space="preserve"> stability in the numbers of young children. </w:t>
      </w:r>
      <w:r w:rsidR="00BF41D7" w:rsidRPr="00692E32">
        <w:rPr>
          <w:rFonts w:asciiTheme="majorHAnsi" w:hAnsiTheme="majorHAnsi" w:cstheme="majorHAnsi"/>
          <w:sz w:val="24"/>
          <w:szCs w:val="24"/>
        </w:rPr>
        <w:t>Therefore, the number of early years children in York is not expe</w:t>
      </w:r>
      <w:r w:rsidR="006E77B3">
        <w:rPr>
          <w:rFonts w:asciiTheme="majorHAnsi" w:hAnsiTheme="majorHAnsi" w:cstheme="majorHAnsi"/>
          <w:sz w:val="24"/>
          <w:szCs w:val="24"/>
        </w:rPr>
        <w:t xml:space="preserve">cted to grow between 2020-2025. </w:t>
      </w:r>
    </w:p>
    <w:p w14:paraId="13747B5A" w14:textId="77777777" w:rsidR="00955687" w:rsidRPr="00692E32" w:rsidRDefault="00587571" w:rsidP="00955687">
      <w:pPr>
        <w:rPr>
          <w:rFonts w:asciiTheme="majorHAnsi" w:hAnsiTheme="majorHAnsi" w:cstheme="majorHAnsi"/>
          <w:sz w:val="24"/>
          <w:szCs w:val="24"/>
        </w:rPr>
      </w:pPr>
      <w:r>
        <w:rPr>
          <w:rFonts w:asciiTheme="majorHAnsi" w:hAnsiTheme="majorHAnsi" w:cstheme="majorHAnsi"/>
          <w:sz w:val="24"/>
          <w:szCs w:val="24"/>
        </w:rPr>
        <w:t>For school age children, i</w:t>
      </w:r>
      <w:r w:rsidR="003A7CF0" w:rsidRPr="00692E32">
        <w:rPr>
          <w:rFonts w:asciiTheme="majorHAnsi" w:hAnsiTheme="majorHAnsi" w:cstheme="majorHAnsi"/>
          <w:sz w:val="24"/>
          <w:szCs w:val="24"/>
        </w:rPr>
        <w:t xml:space="preserve">t is expected that York will see a </w:t>
      </w:r>
      <w:r w:rsidR="00BF41D7" w:rsidRPr="00692E32">
        <w:rPr>
          <w:rFonts w:asciiTheme="majorHAnsi" w:hAnsiTheme="majorHAnsi" w:cstheme="majorHAnsi"/>
          <w:sz w:val="24"/>
          <w:szCs w:val="24"/>
        </w:rPr>
        <w:t>10% growth in older children and teenagers between 2020-2025. This is around 1,500 extra people.</w:t>
      </w:r>
      <w:r w:rsidR="00955687" w:rsidRPr="00692E32">
        <w:rPr>
          <w:rFonts w:asciiTheme="majorHAnsi" w:hAnsiTheme="majorHAnsi" w:cstheme="majorHAnsi"/>
          <w:sz w:val="24"/>
          <w:szCs w:val="24"/>
        </w:rPr>
        <w:t xml:space="preserve"> This is a mainly because of York’s current population growing up, but </w:t>
      </w:r>
      <w:r w:rsidR="00BF41D7" w:rsidRPr="00692E32">
        <w:rPr>
          <w:rFonts w:asciiTheme="majorHAnsi" w:hAnsiTheme="majorHAnsi" w:cstheme="majorHAnsi"/>
          <w:sz w:val="24"/>
          <w:szCs w:val="24"/>
        </w:rPr>
        <w:t xml:space="preserve">there </w:t>
      </w:r>
      <w:r w:rsidR="003A7CF0" w:rsidRPr="00692E32">
        <w:rPr>
          <w:rFonts w:asciiTheme="majorHAnsi" w:hAnsiTheme="majorHAnsi" w:cstheme="majorHAnsi"/>
          <w:sz w:val="24"/>
          <w:szCs w:val="24"/>
        </w:rPr>
        <w:t xml:space="preserve">will also be some families with </w:t>
      </w:r>
      <w:r w:rsidR="00BF41D7" w:rsidRPr="00692E32">
        <w:rPr>
          <w:rFonts w:asciiTheme="majorHAnsi" w:hAnsiTheme="majorHAnsi" w:cstheme="majorHAnsi"/>
          <w:sz w:val="24"/>
          <w:szCs w:val="24"/>
        </w:rPr>
        <w:t>older children moving into the city</w:t>
      </w:r>
      <w:r w:rsidR="00955687" w:rsidRPr="00692E32">
        <w:rPr>
          <w:rStyle w:val="FootnoteReference"/>
          <w:rFonts w:asciiTheme="majorHAnsi" w:hAnsiTheme="majorHAnsi" w:cstheme="majorHAnsi"/>
          <w:sz w:val="24"/>
          <w:szCs w:val="24"/>
        </w:rPr>
        <w:footnoteReference w:id="40"/>
      </w:r>
      <w:r w:rsidR="00955687" w:rsidRPr="00692E32">
        <w:rPr>
          <w:rFonts w:asciiTheme="majorHAnsi" w:hAnsiTheme="majorHAnsi" w:cstheme="majorHAnsi"/>
          <w:sz w:val="24"/>
          <w:szCs w:val="24"/>
        </w:rPr>
        <w:t xml:space="preserve">. The majority of the people moving into York </w:t>
      </w:r>
      <w:r w:rsidR="00BF41D7" w:rsidRPr="00692E32">
        <w:rPr>
          <w:rFonts w:asciiTheme="majorHAnsi" w:hAnsiTheme="majorHAnsi" w:cstheme="majorHAnsi"/>
          <w:sz w:val="24"/>
          <w:szCs w:val="24"/>
        </w:rPr>
        <w:t xml:space="preserve">are expected to be </w:t>
      </w:r>
      <w:r w:rsidR="00955687" w:rsidRPr="00692E32">
        <w:rPr>
          <w:rFonts w:asciiTheme="majorHAnsi" w:hAnsiTheme="majorHAnsi" w:cstheme="majorHAnsi"/>
          <w:sz w:val="24"/>
          <w:szCs w:val="24"/>
        </w:rPr>
        <w:t>from the surrounding Yorkshire areas of Leeds, Nort</w:t>
      </w:r>
      <w:r w:rsidR="00BF41D7" w:rsidRPr="00692E32">
        <w:rPr>
          <w:rFonts w:asciiTheme="majorHAnsi" w:hAnsiTheme="majorHAnsi" w:cstheme="majorHAnsi"/>
          <w:sz w:val="24"/>
          <w:szCs w:val="24"/>
        </w:rPr>
        <w:t>h Yorkshire, and East Riding</w:t>
      </w:r>
      <w:r w:rsidR="00955687" w:rsidRPr="00692E32">
        <w:rPr>
          <w:rStyle w:val="FootnoteReference"/>
          <w:rFonts w:asciiTheme="majorHAnsi" w:hAnsiTheme="majorHAnsi" w:cstheme="majorHAnsi"/>
          <w:sz w:val="24"/>
          <w:szCs w:val="24"/>
        </w:rPr>
        <w:footnoteReference w:id="41"/>
      </w:r>
      <w:r w:rsidR="00955687" w:rsidRPr="00692E32">
        <w:rPr>
          <w:rFonts w:asciiTheme="majorHAnsi" w:hAnsiTheme="majorHAnsi" w:cstheme="majorHAnsi"/>
          <w:sz w:val="24"/>
          <w:szCs w:val="24"/>
        </w:rPr>
        <w:t>.</w:t>
      </w:r>
      <w:r w:rsidR="00F728D3">
        <w:rPr>
          <w:rFonts w:asciiTheme="majorHAnsi" w:hAnsiTheme="majorHAnsi" w:cstheme="majorHAnsi"/>
          <w:sz w:val="24"/>
          <w:szCs w:val="24"/>
        </w:rPr>
        <w:t xml:space="preserve"> </w:t>
      </w:r>
      <w:r w:rsidR="00955687" w:rsidRPr="00692E32">
        <w:rPr>
          <w:rFonts w:asciiTheme="majorHAnsi" w:hAnsiTheme="majorHAnsi" w:cstheme="majorHAnsi"/>
          <w:sz w:val="24"/>
          <w:szCs w:val="24"/>
        </w:rPr>
        <w:t xml:space="preserve"> </w:t>
      </w:r>
    </w:p>
    <w:p w14:paraId="76ACDF51" w14:textId="77777777" w:rsidR="00EF7F11" w:rsidRDefault="00955687" w:rsidP="00177DBD">
      <w:pPr>
        <w:rPr>
          <w:rFonts w:asciiTheme="majorHAnsi" w:hAnsiTheme="majorHAnsi" w:cstheme="majorHAnsi"/>
          <w:sz w:val="24"/>
          <w:szCs w:val="24"/>
        </w:rPr>
      </w:pPr>
      <w:r w:rsidRPr="00692E32">
        <w:rPr>
          <w:rFonts w:asciiTheme="majorHAnsi" w:hAnsiTheme="majorHAnsi" w:cstheme="majorHAnsi"/>
          <w:sz w:val="24"/>
          <w:szCs w:val="24"/>
        </w:rPr>
        <w:lastRenderedPageBreak/>
        <w:t xml:space="preserve">At present, </w:t>
      </w:r>
      <w:r w:rsidR="003A7CF0" w:rsidRPr="00692E32">
        <w:rPr>
          <w:rFonts w:asciiTheme="majorHAnsi" w:hAnsiTheme="majorHAnsi" w:cstheme="majorHAnsi"/>
          <w:sz w:val="24"/>
          <w:szCs w:val="24"/>
        </w:rPr>
        <w:t xml:space="preserve">the greatest in need in young people of this age is </w:t>
      </w:r>
      <w:r w:rsidR="0067126F" w:rsidRPr="00692E32">
        <w:rPr>
          <w:rFonts w:asciiTheme="majorHAnsi" w:hAnsiTheme="majorHAnsi" w:cstheme="majorHAnsi"/>
          <w:sz w:val="24"/>
          <w:szCs w:val="24"/>
        </w:rPr>
        <w:t>‘social, emo</w:t>
      </w:r>
      <w:r w:rsidR="003A7CF0" w:rsidRPr="00692E32">
        <w:rPr>
          <w:rFonts w:asciiTheme="majorHAnsi" w:hAnsiTheme="majorHAnsi" w:cstheme="majorHAnsi"/>
          <w:sz w:val="24"/>
          <w:szCs w:val="24"/>
        </w:rPr>
        <w:t>tional, or mental health need’. For York, the proportion of children with this type of need is increasing at a faster rate than the national average, although the figures for York are showing clear signs of levelling off.</w:t>
      </w:r>
      <w:r w:rsidR="0067126F" w:rsidRPr="00692E32">
        <w:rPr>
          <w:rStyle w:val="FootnoteReference"/>
          <w:rFonts w:asciiTheme="majorHAnsi" w:hAnsiTheme="majorHAnsi" w:cstheme="majorHAnsi"/>
          <w:sz w:val="24"/>
          <w:szCs w:val="24"/>
        </w:rPr>
        <w:footnoteReference w:id="42"/>
      </w:r>
      <w:r w:rsidR="003A7CF0" w:rsidRPr="00692E32">
        <w:rPr>
          <w:rFonts w:asciiTheme="majorHAnsi" w:hAnsiTheme="majorHAnsi" w:cstheme="majorHAnsi"/>
          <w:sz w:val="24"/>
          <w:szCs w:val="24"/>
        </w:rPr>
        <w:t xml:space="preserve">. </w:t>
      </w:r>
      <w:r w:rsidR="00EB4A49" w:rsidRPr="00692E32">
        <w:rPr>
          <w:rFonts w:asciiTheme="majorHAnsi" w:hAnsiTheme="majorHAnsi" w:cstheme="majorHAnsi"/>
          <w:sz w:val="24"/>
          <w:szCs w:val="24"/>
        </w:rPr>
        <w:t>This, coupled with the projected 10% rise in York’s teenage population, strongly suggests that ‘social, emotional, or mental health need’ will remain a core area of focus for York.</w:t>
      </w:r>
      <w:r w:rsidR="00EB4A49" w:rsidRPr="00EB4A49">
        <w:rPr>
          <w:rFonts w:asciiTheme="majorHAnsi" w:hAnsiTheme="majorHAnsi" w:cstheme="majorHAnsi"/>
          <w:sz w:val="24"/>
          <w:szCs w:val="24"/>
        </w:rPr>
        <w:t xml:space="preserve"> </w:t>
      </w:r>
    </w:p>
    <w:p w14:paraId="61002C65" w14:textId="77777777" w:rsidR="00B50ABF" w:rsidRDefault="00B50ABF" w:rsidP="00177DBD">
      <w:pPr>
        <w:rPr>
          <w:rFonts w:asciiTheme="majorHAnsi" w:hAnsiTheme="majorHAnsi" w:cstheme="majorHAnsi"/>
          <w:sz w:val="24"/>
          <w:szCs w:val="24"/>
        </w:rPr>
      </w:pPr>
    </w:p>
    <w:p w14:paraId="5EB41633" w14:textId="77777777" w:rsidR="00B50ABF" w:rsidRDefault="00B50ABF" w:rsidP="00177DBD">
      <w:pPr>
        <w:rPr>
          <w:rFonts w:asciiTheme="majorHAnsi" w:hAnsiTheme="majorHAnsi" w:cstheme="majorHAnsi"/>
          <w:sz w:val="24"/>
          <w:szCs w:val="24"/>
        </w:rPr>
      </w:pPr>
    </w:p>
    <w:p w14:paraId="3DC497DE" w14:textId="77777777" w:rsidR="004602DB" w:rsidRPr="00EB4A49" w:rsidRDefault="004602DB">
      <w:pPr>
        <w:rPr>
          <w:sz w:val="24"/>
          <w:szCs w:val="24"/>
        </w:rPr>
      </w:pPr>
    </w:p>
    <w:sectPr w:rsidR="004602DB" w:rsidRPr="00EB4A4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F9180" w14:textId="77777777" w:rsidR="00DF3BA6" w:rsidRDefault="00DF3BA6" w:rsidP="00107255">
      <w:pPr>
        <w:spacing w:after="0" w:line="240" w:lineRule="auto"/>
      </w:pPr>
      <w:r>
        <w:separator/>
      </w:r>
    </w:p>
  </w:endnote>
  <w:endnote w:type="continuationSeparator" w:id="0">
    <w:p w14:paraId="59198670" w14:textId="77777777" w:rsidR="00DF3BA6" w:rsidRDefault="00DF3BA6" w:rsidP="00107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746473"/>
      <w:docPartObj>
        <w:docPartGallery w:val="Page Numbers (Bottom of Page)"/>
        <w:docPartUnique/>
      </w:docPartObj>
    </w:sdtPr>
    <w:sdtEndPr>
      <w:rPr>
        <w:noProof/>
      </w:rPr>
    </w:sdtEndPr>
    <w:sdtContent>
      <w:p w14:paraId="21F49C33" w14:textId="67487D91" w:rsidR="00DF3BA6" w:rsidRDefault="00DF3BA6">
        <w:pPr>
          <w:pStyle w:val="Footer"/>
          <w:jc w:val="center"/>
        </w:pPr>
        <w:r>
          <w:fldChar w:fldCharType="begin"/>
        </w:r>
        <w:r>
          <w:instrText xml:space="preserve"> PAGE   \* MERGEFORMAT </w:instrText>
        </w:r>
        <w:r>
          <w:fldChar w:fldCharType="separate"/>
        </w:r>
        <w:r w:rsidR="00DD2E2D">
          <w:rPr>
            <w:noProof/>
          </w:rPr>
          <w:t>41</w:t>
        </w:r>
        <w:r>
          <w:rPr>
            <w:noProof/>
          </w:rPr>
          <w:fldChar w:fldCharType="end"/>
        </w:r>
      </w:p>
    </w:sdtContent>
  </w:sdt>
  <w:p w14:paraId="4019196F" w14:textId="77777777" w:rsidR="00DF3BA6" w:rsidRDefault="00DF3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A3C62" w14:textId="77777777" w:rsidR="00DF3BA6" w:rsidRDefault="00DF3BA6" w:rsidP="00107255">
      <w:pPr>
        <w:spacing w:after="0" w:line="240" w:lineRule="auto"/>
      </w:pPr>
      <w:r>
        <w:separator/>
      </w:r>
    </w:p>
  </w:footnote>
  <w:footnote w:type="continuationSeparator" w:id="0">
    <w:p w14:paraId="437931A5" w14:textId="77777777" w:rsidR="00DF3BA6" w:rsidRDefault="00DF3BA6" w:rsidP="00107255">
      <w:pPr>
        <w:spacing w:after="0" w:line="240" w:lineRule="auto"/>
      </w:pPr>
      <w:r>
        <w:continuationSeparator/>
      </w:r>
    </w:p>
  </w:footnote>
  <w:footnote w:id="1">
    <w:p w14:paraId="29DFB19D" w14:textId="77777777" w:rsidR="00DF3BA6" w:rsidRDefault="00DF3BA6">
      <w:pPr>
        <w:pStyle w:val="FootnoteText"/>
      </w:pPr>
      <w:r>
        <w:rPr>
          <w:rStyle w:val="FootnoteReference"/>
        </w:rPr>
        <w:footnoteRef/>
      </w:r>
      <w:r>
        <w:t xml:space="preserve"> </w:t>
      </w:r>
      <w:hyperlink r:id="rId1" w:history="1">
        <w:r w:rsidRPr="004B6CE0">
          <w:rPr>
            <w:rStyle w:val="Hyperlink"/>
          </w:rPr>
          <w:t>https://www.gov.uk/government/publications/send-code-of-practice-0-to-25</w:t>
        </w:r>
      </w:hyperlink>
      <w:r>
        <w:t xml:space="preserve"> </w:t>
      </w:r>
    </w:p>
  </w:footnote>
  <w:footnote w:id="2">
    <w:p w14:paraId="05AD960D" w14:textId="77777777" w:rsidR="00DF3BA6" w:rsidRDefault="00DF3BA6" w:rsidP="00AA13B8">
      <w:pPr>
        <w:pStyle w:val="FootnoteText"/>
      </w:pPr>
      <w:r>
        <w:rPr>
          <w:rStyle w:val="FootnoteReference"/>
        </w:rPr>
        <w:footnoteRef/>
      </w:r>
      <w:r>
        <w:t xml:space="preserve"> </w:t>
      </w:r>
      <w:hyperlink r:id="rId2" w:history="1">
        <w:r w:rsidRPr="004B6CE0">
          <w:rPr>
            <w:rStyle w:val="Hyperlink"/>
          </w:rPr>
          <w:t>https://files.ofsted.gov.uk/v1/file/50147360</w:t>
        </w:r>
      </w:hyperlink>
      <w:r>
        <w:t xml:space="preserve"> </w:t>
      </w:r>
    </w:p>
  </w:footnote>
  <w:footnote w:id="3">
    <w:p w14:paraId="6F62252B" w14:textId="77777777" w:rsidR="00DF3BA6" w:rsidRDefault="00DF3BA6" w:rsidP="00FE288A">
      <w:pPr>
        <w:pStyle w:val="FootnoteText"/>
      </w:pPr>
      <w:r>
        <w:rPr>
          <w:rStyle w:val="FootnoteReference"/>
        </w:rPr>
        <w:footnoteRef/>
      </w:r>
      <w:r>
        <w:t xml:space="preserve"> Second to Brighton and Hove </w:t>
      </w:r>
    </w:p>
  </w:footnote>
  <w:footnote w:id="4">
    <w:p w14:paraId="2338E885" w14:textId="77777777" w:rsidR="00DF3BA6" w:rsidRDefault="00DF3BA6" w:rsidP="00FE288A">
      <w:pPr>
        <w:pStyle w:val="FootnoteText"/>
      </w:pPr>
      <w:r>
        <w:rPr>
          <w:rStyle w:val="FootnoteReference"/>
        </w:rPr>
        <w:footnoteRef/>
      </w:r>
      <w:r>
        <w:t xml:space="preserve"> 16% in 2018 (comparative to 28% nationally) </w:t>
      </w:r>
      <w:hyperlink r:id="rId3" w:history="1">
        <w:r w:rsidRPr="00801EA3">
          <w:rPr>
            <w:rStyle w:val="Hyperlink"/>
          </w:rPr>
          <w:t>https://www.ons.gov.uk/peoplepopulationandcommunity/birthsdeathsandmarriages/livebirths/bulletins/parentscountryofbirthenglandandwales/2018</w:t>
        </w:r>
      </w:hyperlink>
      <w:r>
        <w:t xml:space="preserve"> </w:t>
      </w:r>
    </w:p>
  </w:footnote>
  <w:footnote w:id="5">
    <w:p w14:paraId="593D0092" w14:textId="77777777" w:rsidR="00DF3BA6" w:rsidRDefault="00DF3BA6" w:rsidP="00FE288A">
      <w:pPr>
        <w:pStyle w:val="FootnoteText"/>
      </w:pPr>
      <w:r>
        <w:rPr>
          <w:rStyle w:val="FootnoteReference"/>
        </w:rPr>
        <w:footnoteRef/>
      </w:r>
      <w:r>
        <w:t xml:space="preserve"> 4.5% in 2017, relates to 83 infants.</w:t>
      </w:r>
    </w:p>
  </w:footnote>
  <w:footnote w:id="6">
    <w:p w14:paraId="144BBB1B" w14:textId="77777777" w:rsidR="00DF3BA6" w:rsidRDefault="00DF3BA6" w:rsidP="00FE288A">
      <w:pPr>
        <w:pStyle w:val="FootnoteText"/>
      </w:pPr>
      <w:r>
        <w:rPr>
          <w:rStyle w:val="FootnoteReference"/>
        </w:rPr>
        <w:footnoteRef/>
      </w:r>
      <w:r>
        <w:t xml:space="preserve"> 2017 data. 16 conceptions per every 1000 under 18 year olds. A total of 43 conceptions. </w:t>
      </w:r>
    </w:p>
  </w:footnote>
  <w:footnote w:id="7">
    <w:p w14:paraId="3855BB06" w14:textId="77777777" w:rsidR="00DF3BA6" w:rsidRDefault="00DF3BA6" w:rsidP="00FE288A">
      <w:pPr>
        <w:pStyle w:val="FootnoteText"/>
      </w:pPr>
      <w:r>
        <w:rPr>
          <w:rStyle w:val="FootnoteReference"/>
        </w:rPr>
        <w:footnoteRef/>
      </w:r>
      <w:r>
        <w:t xml:space="preserve"> 2017/2018 data. 0.9% birth are to mothers aged under 18 years old. A total of 16 births </w:t>
      </w:r>
    </w:p>
  </w:footnote>
  <w:footnote w:id="8">
    <w:p w14:paraId="4BF4A235" w14:textId="77777777" w:rsidR="00DF3BA6" w:rsidRDefault="00DF3BA6" w:rsidP="00FE288A">
      <w:pPr>
        <w:pStyle w:val="FootnoteText"/>
      </w:pPr>
      <w:r>
        <w:rPr>
          <w:rStyle w:val="FootnoteReference"/>
        </w:rPr>
        <w:footnoteRef/>
      </w:r>
      <w:r>
        <w:t xml:space="preserve"> 2018/19 data. 198 women in York. The national average is 10.6</w:t>
      </w:r>
    </w:p>
  </w:footnote>
  <w:footnote w:id="9">
    <w:p w14:paraId="02FF9A9B" w14:textId="77777777" w:rsidR="00DF3BA6" w:rsidRDefault="00DF3BA6" w:rsidP="00FE288A">
      <w:pPr>
        <w:pStyle w:val="FootnoteText"/>
      </w:pPr>
      <w:r>
        <w:rPr>
          <w:rStyle w:val="FootnoteReference"/>
        </w:rPr>
        <w:footnoteRef/>
      </w:r>
      <w:r>
        <w:t xml:space="preserve"> Data from 2017. 115 infants with a low birth weight (6% of all live births). 20 with a very low weight at birth </w:t>
      </w:r>
    </w:p>
  </w:footnote>
  <w:footnote w:id="10">
    <w:p w14:paraId="22DAED80" w14:textId="77777777" w:rsidR="00DF3BA6" w:rsidRDefault="00DF3BA6" w:rsidP="00FE288A">
      <w:pPr>
        <w:pStyle w:val="FootnoteText"/>
      </w:pPr>
      <w:r>
        <w:rPr>
          <w:rStyle w:val="FootnoteReference"/>
        </w:rPr>
        <w:footnoteRef/>
      </w:r>
      <w:r>
        <w:t xml:space="preserve"> Gastro-intestinal </w:t>
      </w:r>
    </w:p>
  </w:footnote>
  <w:footnote w:id="11">
    <w:p w14:paraId="43D5FC07" w14:textId="77777777" w:rsidR="00DF3BA6" w:rsidRDefault="00DF3BA6" w:rsidP="00FE288A">
      <w:pPr>
        <w:pStyle w:val="FootnoteText"/>
      </w:pPr>
      <w:r>
        <w:rPr>
          <w:rStyle w:val="FootnoteReference"/>
        </w:rPr>
        <w:footnoteRef/>
      </w:r>
      <w:r>
        <w:t xml:space="preserve"> 77.% in 2016/2017 (1,559 babies in total). In line with national rates</w:t>
      </w:r>
    </w:p>
  </w:footnote>
  <w:footnote w:id="12">
    <w:p w14:paraId="03326FB0" w14:textId="77777777" w:rsidR="00DF3BA6" w:rsidRDefault="00DF3BA6" w:rsidP="00FE288A">
      <w:pPr>
        <w:pStyle w:val="FootnoteText"/>
      </w:pPr>
      <w:r>
        <w:rPr>
          <w:rStyle w:val="FootnoteReference"/>
        </w:rPr>
        <w:footnoteRef/>
      </w:r>
      <w:r>
        <w:t xml:space="preserve"> This information is collected during the home visit that happens between 6 and 8 weeks after birth. </w:t>
      </w:r>
    </w:p>
  </w:footnote>
  <w:footnote w:id="13">
    <w:p w14:paraId="40F36FEE" w14:textId="77777777" w:rsidR="00DF3BA6" w:rsidRDefault="00DF3BA6" w:rsidP="00FE288A">
      <w:pPr>
        <w:pStyle w:val="FootnoteText"/>
      </w:pPr>
      <w:r>
        <w:rPr>
          <w:rStyle w:val="FootnoteReference"/>
        </w:rPr>
        <w:footnoteRef/>
      </w:r>
      <w:r>
        <w:t xml:space="preserve"> </w:t>
      </w:r>
      <w:hyperlink r:id="rId4" w:anchor="page/1/gid/1938133257/pat/6/par/E12000003/ati/102/are/E06000014/iid/30306/age/30/sex/4" w:history="1">
        <w:r w:rsidRPr="0086108D">
          <w:rPr>
            <w:rStyle w:val="Hyperlink"/>
          </w:rPr>
          <w:t>https://fingertips.phe.org.uk/profile/child-health-profiles/data#page/1/gid/1938133257/pat/6/par/E12000003/ati/102/are/E06000014/iid/30306/age/30/sex/4</w:t>
        </w:r>
      </w:hyperlink>
      <w:r>
        <w:t xml:space="preserve"> </w:t>
      </w:r>
    </w:p>
  </w:footnote>
  <w:footnote w:id="14">
    <w:p w14:paraId="5619D1C2" w14:textId="77777777" w:rsidR="00DF3BA6" w:rsidRDefault="00DF3BA6" w:rsidP="00FE288A">
      <w:pPr>
        <w:pStyle w:val="FootnoteText"/>
      </w:pPr>
      <w:r>
        <w:rPr>
          <w:rStyle w:val="FootnoteReference"/>
        </w:rPr>
        <w:footnoteRef/>
      </w:r>
      <w:r>
        <w:t xml:space="preserve"> Most recent data in 2018/19 </w:t>
      </w:r>
      <w:hyperlink r:id="rId5" w:anchor="page/1/gid/8000011/pat/6/par/E12000003/ati/202/are/E06000014" w:history="1">
        <w:r w:rsidRPr="00801EA3">
          <w:rPr>
            <w:rStyle w:val="Hyperlink"/>
          </w:rPr>
          <w:t>https://fingertips.phe.org.uk/profile/national-child-measurement-programme/data#page/1/gid/8000011/pat/6/par/E12000003/ati/202/are/E06000014</w:t>
        </w:r>
      </w:hyperlink>
      <w:r>
        <w:t xml:space="preserve"> </w:t>
      </w:r>
    </w:p>
  </w:footnote>
  <w:footnote w:id="15">
    <w:p w14:paraId="3790D738" w14:textId="77777777" w:rsidR="00DF3BA6" w:rsidRDefault="00DF3BA6" w:rsidP="00FE288A">
      <w:pPr>
        <w:pStyle w:val="FootnoteText"/>
      </w:pPr>
      <w:r>
        <w:rPr>
          <w:rStyle w:val="FootnoteReference"/>
        </w:rPr>
        <w:footnoteRef/>
      </w:r>
      <w:r>
        <w:t xml:space="preserve"> 2016 data. This is 10% of households with children. </w:t>
      </w:r>
    </w:p>
  </w:footnote>
  <w:footnote w:id="16">
    <w:p w14:paraId="4A9D4DB8" w14:textId="77777777" w:rsidR="00DF3BA6" w:rsidRDefault="00DF3BA6" w:rsidP="009350E4">
      <w:pPr>
        <w:spacing w:after="0"/>
      </w:pPr>
      <w:r>
        <w:rPr>
          <w:rStyle w:val="FootnoteReference"/>
        </w:rPr>
        <w:footnoteRef/>
      </w:r>
      <w:r>
        <w:t xml:space="preserve"> </w:t>
      </w:r>
      <w:hyperlink r:id="rId6" w:history="1">
        <w:r w:rsidRPr="009350E4">
          <w:rPr>
            <w:rStyle w:val="Hyperlink"/>
            <w:sz w:val="18"/>
            <w:szCs w:val="20"/>
          </w:rPr>
          <w:t>https://digital.nhs.uk/data-and-information/publications/statistical/mental-health-of-children-and-young-people-in-england/2017/2017</w:t>
        </w:r>
      </w:hyperlink>
    </w:p>
  </w:footnote>
  <w:footnote w:id="17">
    <w:p w14:paraId="0FBB6589" w14:textId="77777777" w:rsidR="00DF3BA6" w:rsidRPr="00347235" w:rsidRDefault="00DF3BA6" w:rsidP="00FE288A">
      <w:pPr>
        <w:pStyle w:val="FootnoteText"/>
        <w:rPr>
          <w:sz w:val="18"/>
        </w:rPr>
      </w:pPr>
      <w:r>
        <w:rPr>
          <w:rStyle w:val="FootnoteReference"/>
        </w:rPr>
        <w:footnoteRef/>
      </w:r>
      <w:r>
        <w:t xml:space="preserve"> </w:t>
      </w:r>
      <w:r w:rsidRPr="00347235">
        <w:rPr>
          <w:sz w:val="18"/>
        </w:rPr>
        <w:t xml:space="preserve">Data from 2016/17, down from 25% in 2011/12 </w:t>
      </w:r>
      <w:hyperlink r:id="rId7" w:anchor="page/4/gid/1/pat/6/par/E12000003/ati/202/are/E06000014/iid/90820/age/34/sex/4" w:history="1">
        <w:r w:rsidRPr="00347235">
          <w:rPr>
            <w:rStyle w:val="Hyperlink"/>
            <w:sz w:val="18"/>
          </w:rPr>
          <w:t>https://fingertips.phe.org.uk/search/dental#page/4/gid/1/pat/6/par/E12000003/ati/202/are/E06000014/iid/90820/age/34/sex/4</w:t>
        </w:r>
      </w:hyperlink>
      <w:r w:rsidRPr="00347235">
        <w:rPr>
          <w:sz w:val="18"/>
        </w:rPr>
        <w:t xml:space="preserve">  </w:t>
      </w:r>
    </w:p>
  </w:footnote>
  <w:footnote w:id="18">
    <w:p w14:paraId="2332FC82" w14:textId="77777777" w:rsidR="00DF3BA6" w:rsidRPr="00347235" w:rsidRDefault="00DF3BA6" w:rsidP="00FE288A">
      <w:pPr>
        <w:pStyle w:val="FootnoteText"/>
        <w:rPr>
          <w:sz w:val="18"/>
        </w:rPr>
      </w:pPr>
      <w:r w:rsidRPr="00347235">
        <w:rPr>
          <w:rStyle w:val="FootnoteReference"/>
          <w:sz w:val="18"/>
        </w:rPr>
        <w:footnoteRef/>
      </w:r>
      <w:hyperlink r:id="rId8" w:anchor="page/4/gid/1/pat/6/par/E12000003/ati/202/are/E06000014/iid/90366/age/1/sex/2" w:history="1">
        <w:r w:rsidRPr="00347235">
          <w:rPr>
            <w:rStyle w:val="Hyperlink"/>
            <w:sz w:val="18"/>
          </w:rPr>
          <w:t>https://fingertips.phe.org.uk/search/life%20expectancy#page/4/gid/1/pat/6/par/E12000003/ati/202/are/E06000014/iid/90366/age/1/sex/2</w:t>
        </w:r>
      </w:hyperlink>
      <w:r w:rsidRPr="00347235">
        <w:rPr>
          <w:sz w:val="18"/>
        </w:rPr>
        <w:t xml:space="preserve"> </w:t>
      </w:r>
    </w:p>
  </w:footnote>
  <w:footnote w:id="19">
    <w:p w14:paraId="760DC27E" w14:textId="77777777" w:rsidR="00DF3BA6" w:rsidRDefault="00DF3BA6" w:rsidP="00FE288A">
      <w:pPr>
        <w:pStyle w:val="FootnoteText"/>
      </w:pPr>
      <w:r w:rsidRPr="00347235">
        <w:rPr>
          <w:rStyle w:val="FootnoteReference"/>
          <w:sz w:val="18"/>
        </w:rPr>
        <w:footnoteRef/>
      </w:r>
      <w:hyperlink r:id="rId9" w:anchor="page/4/gid/1/pat/6/par/E12000003/ati/202/are/E06000014/iid/90362/age/1/sex/2" w:history="1">
        <w:r w:rsidRPr="00347235">
          <w:rPr>
            <w:rStyle w:val="Hyperlink"/>
            <w:sz w:val="18"/>
          </w:rPr>
          <w:t>https://fingertips.phe.org.uk/search/life%20expectancy#page/4/gid/1/pat/6/par/E12000003/ati/202/are/E06000014/iid/90362/age/1/sex/2</w:t>
        </w:r>
      </w:hyperlink>
      <w:r w:rsidRPr="00347235">
        <w:rPr>
          <w:sz w:val="18"/>
        </w:rPr>
        <w:t xml:space="preserve"> </w:t>
      </w:r>
    </w:p>
  </w:footnote>
  <w:footnote w:id="20">
    <w:p w14:paraId="08EB4F9E" w14:textId="77777777" w:rsidR="00DF3BA6" w:rsidRDefault="00DF3BA6">
      <w:pPr>
        <w:pStyle w:val="FootnoteText"/>
      </w:pPr>
      <w:r>
        <w:rPr>
          <w:rStyle w:val="FootnoteReference"/>
        </w:rPr>
        <w:footnoteRef/>
      </w:r>
      <w:r>
        <w:t xml:space="preserve"> School census – 2020 figures not published yet. </w:t>
      </w:r>
    </w:p>
  </w:footnote>
  <w:footnote w:id="21">
    <w:p w14:paraId="465A0CFB" w14:textId="77777777" w:rsidR="00DF3BA6" w:rsidRDefault="00DF3BA6" w:rsidP="003C6354">
      <w:pPr>
        <w:rPr>
          <w:rFonts w:ascii="Arial" w:hAnsi="Arial" w:cs="Arial"/>
          <w:color w:val="44546A"/>
          <w:sz w:val="28"/>
          <w:szCs w:val="28"/>
        </w:rPr>
      </w:pPr>
      <w:r>
        <w:rPr>
          <w:rStyle w:val="FootnoteReference"/>
        </w:rPr>
        <w:footnoteRef/>
      </w:r>
      <w:r>
        <w:t xml:space="preserve"> </w:t>
      </w:r>
      <w:r w:rsidRPr="003A78CB">
        <w:rPr>
          <w:sz w:val="20"/>
        </w:rPr>
        <w:t xml:space="preserve">The schools census includes the majority of CYP of school age children in York, but excludes: a) children in primate EY settings, b) young people in post-16 providers other than mainstream sixth forms, and c) children who are home educated. Some of the private schools provide limited information on their CYP in the census. </w:t>
      </w:r>
    </w:p>
    <w:p w14:paraId="07B0D5F3" w14:textId="77777777" w:rsidR="00DF3BA6" w:rsidRDefault="00DF3BA6">
      <w:pPr>
        <w:pStyle w:val="FootnoteText"/>
      </w:pPr>
    </w:p>
  </w:footnote>
  <w:footnote w:id="22">
    <w:p w14:paraId="29318C41" w14:textId="7E1CB0E1" w:rsidR="00DF3BA6" w:rsidRDefault="00DF3BA6">
      <w:pPr>
        <w:pStyle w:val="FootnoteText"/>
      </w:pPr>
      <w:r>
        <w:rPr>
          <w:rStyle w:val="FootnoteReference"/>
        </w:rPr>
        <w:footnoteRef/>
      </w:r>
      <w:r>
        <w:t xml:space="preserve"> </w:t>
      </w:r>
      <w:hyperlink r:id="rId10" w:history="1">
        <w:r w:rsidRPr="00A42D0C">
          <w:rPr>
            <w:color w:val="0000FF"/>
            <w:sz w:val="22"/>
            <w:szCs w:val="22"/>
            <w:u w:val="single"/>
          </w:rPr>
          <w:t>https://www.yor-ok.org.uk/families/Local%20Offer/specialist-early-years-support.htm</w:t>
        </w:r>
      </w:hyperlink>
      <w:r>
        <w:rPr>
          <w:sz w:val="22"/>
          <w:szCs w:val="22"/>
        </w:rPr>
        <w:t xml:space="preserve"> </w:t>
      </w:r>
    </w:p>
  </w:footnote>
  <w:footnote w:id="23">
    <w:p w14:paraId="0C19588C" w14:textId="21C87AE9" w:rsidR="00DF3BA6" w:rsidRDefault="00DF3BA6">
      <w:pPr>
        <w:pStyle w:val="FootnoteText"/>
      </w:pPr>
      <w:r>
        <w:rPr>
          <w:rStyle w:val="FootnoteReference"/>
        </w:rPr>
        <w:footnoteRef/>
      </w:r>
      <w:r>
        <w:t xml:space="preserve"> For comparison there are 388 pupils with an identified SEND aged 5 or 6 years</w:t>
      </w:r>
    </w:p>
  </w:footnote>
  <w:footnote w:id="24">
    <w:p w14:paraId="260C79CF" w14:textId="77777777" w:rsidR="00DF3BA6" w:rsidRDefault="00DF3BA6" w:rsidP="007244B2">
      <w:pPr>
        <w:pStyle w:val="FootnoteText"/>
      </w:pPr>
      <w:r>
        <w:rPr>
          <w:rStyle w:val="FootnoteReference"/>
        </w:rPr>
        <w:footnoteRef/>
      </w:r>
      <w:r>
        <w:t xml:space="preserve"> This is an estimation based on the autism term of 19/20. It does not taken into account any seasonality or impact of covid-19</w:t>
      </w:r>
    </w:p>
  </w:footnote>
  <w:footnote w:id="25">
    <w:p w14:paraId="47A9CC52" w14:textId="77777777" w:rsidR="00DF3BA6" w:rsidRDefault="00DF3BA6" w:rsidP="007244B2">
      <w:pPr>
        <w:pStyle w:val="FootnoteText"/>
      </w:pPr>
      <w:r>
        <w:rPr>
          <w:rStyle w:val="FootnoteReference"/>
        </w:rPr>
        <w:footnoteRef/>
      </w:r>
      <w:r>
        <w:t>h</w:t>
      </w:r>
      <w:r w:rsidRPr="00A74932">
        <w:t>ttps://assets.publishing.service.gov.uk/government/uploads/system/uploads/attachment_data/file/413814/Special_education_needs_and_disability_review.pdf</w:t>
      </w:r>
    </w:p>
  </w:footnote>
  <w:footnote w:id="26">
    <w:p w14:paraId="6ED0655B" w14:textId="5AC61973" w:rsidR="00DF3BA6" w:rsidRDefault="00DF3BA6">
      <w:pPr>
        <w:pStyle w:val="FootnoteText"/>
      </w:pPr>
      <w:r>
        <w:rPr>
          <w:rStyle w:val="FootnoteReference"/>
        </w:rPr>
        <w:footnoteRef/>
      </w:r>
      <w:r>
        <w:t xml:space="preserve"> </w:t>
      </w:r>
      <w:hyperlink r:id="rId11" w:history="1">
        <w:r w:rsidRPr="00EF0835">
          <w:rPr>
            <w:color w:val="0000FF"/>
            <w:sz w:val="22"/>
            <w:szCs w:val="22"/>
            <w:u w:val="single"/>
          </w:rPr>
          <w:t>https://www.jrf.org.uk/report/special-educational-needs-and-their-links-poverty</w:t>
        </w:r>
      </w:hyperlink>
      <w:r>
        <w:rPr>
          <w:sz w:val="22"/>
          <w:szCs w:val="22"/>
        </w:rPr>
        <w:t xml:space="preserve"> </w:t>
      </w:r>
    </w:p>
  </w:footnote>
  <w:footnote w:id="27">
    <w:p w14:paraId="17DAA45A" w14:textId="77777777" w:rsidR="00DF3BA6" w:rsidRDefault="00DF3BA6" w:rsidP="00353C0C">
      <w:pPr>
        <w:pStyle w:val="FootnoteText"/>
      </w:pPr>
      <w:r>
        <w:rPr>
          <w:rStyle w:val="FootnoteReference"/>
        </w:rPr>
        <w:footnoteRef/>
      </w:r>
      <w:r>
        <w:t xml:space="preserve"> R2=0.37</w:t>
      </w:r>
    </w:p>
  </w:footnote>
  <w:footnote w:id="28">
    <w:p w14:paraId="581042A0" w14:textId="77777777" w:rsidR="00DF3BA6" w:rsidRDefault="00DF3BA6" w:rsidP="00605F95">
      <w:pPr>
        <w:pStyle w:val="FootnoteText"/>
      </w:pPr>
      <w:r>
        <w:rPr>
          <w:rStyle w:val="FootnoteReference"/>
        </w:rPr>
        <w:footnoteRef/>
      </w:r>
      <w:r>
        <w:t xml:space="preserve"> I adjusted the numbers of CYP aged 0-19 in Hull Road ward to better indicate the numbers of permanent residents. This is because Hull Road is home to many students aged 18 who did not grow up in York. </w:t>
      </w:r>
    </w:p>
  </w:footnote>
  <w:footnote w:id="29">
    <w:p w14:paraId="5940E87D" w14:textId="77777777" w:rsidR="00DF3BA6" w:rsidRDefault="00DF3BA6" w:rsidP="00D70A74">
      <w:pPr>
        <w:pStyle w:val="FootnoteText"/>
      </w:pPr>
      <w:r>
        <w:rPr>
          <w:rStyle w:val="FootnoteReference"/>
        </w:rPr>
        <w:footnoteRef/>
      </w:r>
      <w:r>
        <w:t xml:space="preserve"> This includes 4% of pupils with no postcode - assumed to be international students who live in the school. </w:t>
      </w:r>
    </w:p>
  </w:footnote>
  <w:footnote w:id="30">
    <w:p w14:paraId="41D3C9DC" w14:textId="77777777" w:rsidR="00DF3BA6" w:rsidRDefault="00DF3BA6" w:rsidP="00A36F4C">
      <w:pPr>
        <w:pStyle w:val="FootnoteText"/>
      </w:pPr>
      <w:r>
        <w:rPr>
          <w:rStyle w:val="FootnoteReference"/>
        </w:rPr>
        <w:footnoteRef/>
      </w:r>
      <w:r>
        <w:t xml:space="preserve"> 1/198 data. York 76% national 71.8%. </w:t>
      </w:r>
    </w:p>
  </w:footnote>
  <w:footnote w:id="31">
    <w:p w14:paraId="74F3C5E6" w14:textId="77777777" w:rsidR="00DF3BA6" w:rsidRDefault="00DF3BA6" w:rsidP="00A36F4C">
      <w:pPr>
        <w:pStyle w:val="FootnoteText"/>
      </w:pPr>
      <w:r>
        <w:rPr>
          <w:rStyle w:val="FootnoteReference"/>
        </w:rPr>
        <w:footnoteRef/>
      </w:r>
      <w:hyperlink r:id="rId12" w:anchor="page/4/gid/1/pat/6/par/E12000003/ati/202/are/E06000014/iid/90631/age/34/sex/4" w:history="1">
        <w:r w:rsidRPr="00801EA3">
          <w:rPr>
            <w:rStyle w:val="Hyperlink"/>
          </w:rPr>
          <w:t>https://fingertips.phe.org.uk/search/school%20readiness#page/4/gid/1/pat/6/par/E12000003/ati/202/are/E06000014/iid/90631/age/34/sex/4</w:t>
        </w:r>
      </w:hyperlink>
      <w:r>
        <w:t xml:space="preserve"> </w:t>
      </w:r>
    </w:p>
  </w:footnote>
  <w:footnote w:id="32">
    <w:p w14:paraId="46FC059C" w14:textId="77777777" w:rsidR="00DF3BA6" w:rsidRDefault="00DF3BA6">
      <w:pPr>
        <w:pStyle w:val="FootnoteText"/>
      </w:pPr>
      <w:r>
        <w:rPr>
          <w:rStyle w:val="FootnoteReference"/>
        </w:rPr>
        <w:footnoteRef/>
      </w:r>
      <w:r>
        <w:t xml:space="preserve"> 15 Local authorities with populations similar to York </w:t>
      </w:r>
    </w:p>
  </w:footnote>
  <w:footnote w:id="33">
    <w:p w14:paraId="4D7011A8" w14:textId="77777777" w:rsidR="00DF3BA6" w:rsidRDefault="00DF3BA6">
      <w:pPr>
        <w:pStyle w:val="FootnoteText"/>
      </w:pPr>
      <w:r>
        <w:rPr>
          <w:rStyle w:val="FootnoteReference"/>
        </w:rPr>
        <w:footnoteRef/>
      </w:r>
      <w:r>
        <w:t xml:space="preserve"> </w:t>
      </w:r>
      <w:hyperlink r:id="rId13" w:history="1">
        <w:r w:rsidRPr="00CE24A1">
          <w:rPr>
            <w:rStyle w:val="Hyperlink"/>
          </w:rPr>
          <w:t>https://lginform.local.gov.uk/reports/view/send-research/local-area-send-report?mod-area=E06000014&amp;mod-group=CIPFA_Near_Neighbours&amp;mod-type=comparisonGroupType</w:t>
        </w:r>
      </w:hyperlink>
      <w:r>
        <w:t xml:space="preserve"> </w:t>
      </w:r>
    </w:p>
  </w:footnote>
  <w:footnote w:id="34">
    <w:p w14:paraId="5F6227A8" w14:textId="77777777" w:rsidR="00DF3BA6" w:rsidRDefault="00DF3BA6">
      <w:pPr>
        <w:pStyle w:val="FootnoteText"/>
      </w:pPr>
      <w:r>
        <w:rPr>
          <w:rStyle w:val="FootnoteReference"/>
        </w:rPr>
        <w:footnoteRef/>
      </w:r>
      <w:r>
        <w:t xml:space="preserve"> </w:t>
      </w:r>
      <w:hyperlink r:id="rId14" w:history="1">
        <w:r w:rsidRPr="000007E7">
          <w:rPr>
            <w:rStyle w:val="Hyperlink"/>
          </w:rPr>
          <w:t>https://lginform.local.gov.uk/reports/lgastandard?mod-metric=10605&amp;mod-area=E06000014&amp;mod-group=AllUnitaryLaInCountry_England&amp;mod-type=namedComparisonGroup</w:t>
        </w:r>
      </w:hyperlink>
      <w:r>
        <w:t xml:space="preserve"> </w:t>
      </w:r>
    </w:p>
  </w:footnote>
  <w:footnote w:id="35">
    <w:p w14:paraId="539838C3" w14:textId="77777777" w:rsidR="00DF3BA6" w:rsidRDefault="00DF3BA6" w:rsidP="001074AF">
      <w:pPr>
        <w:pStyle w:val="FootnoteText"/>
      </w:pPr>
      <w:r>
        <w:rPr>
          <w:rStyle w:val="FootnoteReference"/>
        </w:rPr>
        <w:footnoteRef/>
      </w:r>
      <w:r>
        <w:t xml:space="preserve"> </w:t>
      </w:r>
      <w:hyperlink r:id="rId15" w:history="1">
        <w:r w:rsidRPr="000007E7">
          <w:rPr>
            <w:rStyle w:val="Hyperlink"/>
          </w:rPr>
          <w:t>https://lginform.local.gov.uk/reports/lgastandard?mod-metric=10605&amp;mod-area=E06000014&amp;mod-group=AllUnitaryLaInCountry_England&amp;mod-type=namedComparisonGroup</w:t>
        </w:r>
      </w:hyperlink>
      <w:r>
        <w:t xml:space="preserve"> </w:t>
      </w:r>
    </w:p>
  </w:footnote>
  <w:footnote w:id="36">
    <w:p w14:paraId="11C67DCA" w14:textId="77777777" w:rsidR="00DF3BA6" w:rsidRDefault="00DF3BA6">
      <w:pPr>
        <w:pStyle w:val="FootnoteText"/>
      </w:pPr>
      <w:r>
        <w:rPr>
          <w:rStyle w:val="FootnoteReference"/>
        </w:rPr>
        <w:footnoteRef/>
      </w:r>
      <w:r w:rsidRPr="007C2B95">
        <w:t>https://assets.publishing.service.gov.uk/government/uploads/system/uploads/attachment_data/file/709743/Experiences_of_EHC_plans_-_A_survey_of_parents_and_young_people.pdf</w:t>
      </w:r>
    </w:p>
  </w:footnote>
  <w:footnote w:id="37">
    <w:p w14:paraId="06D465E9" w14:textId="77777777" w:rsidR="00DF3BA6" w:rsidRPr="008B1FFC" w:rsidRDefault="00DF3BA6" w:rsidP="00B0694E">
      <w:pPr>
        <w:rPr>
          <w:sz w:val="20"/>
        </w:rPr>
      </w:pPr>
      <w:r>
        <w:rPr>
          <w:rStyle w:val="FootnoteReference"/>
        </w:rPr>
        <w:footnoteRef/>
      </w:r>
      <w:hyperlink r:id="rId16" w:history="1">
        <w:r w:rsidRPr="00DB15E9">
          <w:rPr>
            <w:rStyle w:val="Hyperlink"/>
            <w:sz w:val="20"/>
          </w:rPr>
          <w:t>https://www.google.com/url?sa=t&amp;rct=j&amp;q=&amp;esrc=s&amp;source=web&amp;cd=2&amp;cad=rja&amp;uact=8&amp;ved=2ahUKEwjg8PfDkrrnAhXb8uAKHd8BBssQFjABegQIARAB&amp;url=https%3A%2F%2Fwww.adph.org.uk%2Fwp-content%2Fuploads%2F2019%2F06%2FWhat-Good-Children-and-Young-Peoples-Public-Health-Looks-Like.pdf&amp;usg=AOvVaw2di4Y2_V5mqmb-YnHQBL8r</w:t>
        </w:r>
      </w:hyperlink>
      <w:r w:rsidRPr="008B1FFC">
        <w:rPr>
          <w:sz w:val="20"/>
        </w:rPr>
        <w:t xml:space="preserve"> </w:t>
      </w:r>
    </w:p>
    <w:p w14:paraId="1D563F9D" w14:textId="77777777" w:rsidR="00DF3BA6" w:rsidRDefault="00DF3BA6" w:rsidP="00B0694E">
      <w:pPr>
        <w:pStyle w:val="FootnoteText"/>
      </w:pPr>
    </w:p>
  </w:footnote>
  <w:footnote w:id="38">
    <w:p w14:paraId="10D324B5" w14:textId="77777777" w:rsidR="00DF3BA6" w:rsidRDefault="00DF3BA6">
      <w:pPr>
        <w:pStyle w:val="FootnoteText"/>
      </w:pPr>
      <w:r>
        <w:rPr>
          <w:rStyle w:val="FootnoteReference"/>
        </w:rPr>
        <w:footnoteRef/>
      </w:r>
      <w:r>
        <w:t xml:space="preserve"> </w:t>
      </w:r>
      <w:hyperlink r:id="rId17" w:history="1">
        <w:r w:rsidRPr="002D6BFA">
          <w:rPr>
            <w:rStyle w:val="Hyperlink"/>
          </w:rPr>
          <w:t>https://democracy.york.gov.uk/documents/s130922/Annex%20A%20-%20All%20Age%20Learning%20Disabilities%20Strategy%20final%20draft.pdf</w:t>
        </w:r>
      </w:hyperlink>
      <w:r>
        <w:t xml:space="preserve"> </w:t>
      </w:r>
    </w:p>
  </w:footnote>
  <w:footnote w:id="39">
    <w:p w14:paraId="0F33EFDA" w14:textId="77777777" w:rsidR="00DF3BA6" w:rsidRDefault="00DF3BA6">
      <w:pPr>
        <w:pStyle w:val="FootnoteText"/>
      </w:pPr>
      <w:r>
        <w:rPr>
          <w:rStyle w:val="FootnoteReference"/>
        </w:rPr>
        <w:footnoteRef/>
      </w:r>
      <w:r>
        <w:t xml:space="preserve"> </w:t>
      </w:r>
      <w:hyperlink r:id="rId18" w:history="1">
        <w:r w:rsidRPr="000007E7">
          <w:rPr>
            <w:rStyle w:val="Hyperlink"/>
          </w:rPr>
          <w:t>https://www.york.gov.uk/downloads/file/1185/all-age-autism-strategy-2017-21</w:t>
        </w:r>
      </w:hyperlink>
      <w:r>
        <w:t xml:space="preserve"> </w:t>
      </w:r>
    </w:p>
  </w:footnote>
  <w:footnote w:id="40">
    <w:p w14:paraId="5685253B" w14:textId="77777777" w:rsidR="00DF3BA6" w:rsidRDefault="00DF3BA6" w:rsidP="00955687">
      <w:pPr>
        <w:pStyle w:val="FootnoteText"/>
      </w:pPr>
      <w:r>
        <w:rPr>
          <w:rStyle w:val="FootnoteReference"/>
        </w:rPr>
        <w:footnoteRef/>
      </w:r>
      <w:r>
        <w:t xml:space="preserve"> Content taken from a JSNA report to the Primary Care Network in 2019. The data is from ONS predictions.</w:t>
      </w:r>
    </w:p>
  </w:footnote>
  <w:footnote w:id="41">
    <w:p w14:paraId="4CF23AA0" w14:textId="77777777" w:rsidR="00DF3BA6" w:rsidRDefault="00DF3BA6" w:rsidP="00955687">
      <w:pPr>
        <w:pStyle w:val="FootnoteText"/>
      </w:pPr>
      <w:r>
        <w:rPr>
          <w:rStyle w:val="FootnoteReference"/>
        </w:rPr>
        <w:footnoteRef/>
      </w:r>
      <w:hyperlink r:id="rId19" w:history="1">
        <w:r w:rsidRPr="000007E7">
          <w:rPr>
            <w:rStyle w:val="Hyperlink"/>
          </w:rPr>
          <w:t>https://www.ons.gov.uk/peoplepopulationandcommunity/populationandmigration/populationestimates/bulletins/annualmidyearpopulationestimates/mid2019estimates</w:t>
        </w:r>
      </w:hyperlink>
      <w:r>
        <w:t xml:space="preserve"> </w:t>
      </w:r>
    </w:p>
  </w:footnote>
  <w:footnote w:id="42">
    <w:p w14:paraId="03BFDF13" w14:textId="77777777" w:rsidR="00DF3BA6" w:rsidRDefault="00DF3BA6">
      <w:pPr>
        <w:pStyle w:val="FootnoteText"/>
      </w:pPr>
      <w:r>
        <w:rPr>
          <w:rStyle w:val="FootnoteReference"/>
        </w:rPr>
        <w:footnoteRef/>
      </w:r>
      <w:r>
        <w:t xml:space="preserve"> NHS Digital (2018) ‘Mental health of children and young people in England’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5F4"/>
    <w:multiLevelType w:val="hybridMultilevel"/>
    <w:tmpl w:val="D4F8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1336A"/>
    <w:multiLevelType w:val="hybridMultilevel"/>
    <w:tmpl w:val="7B109B66"/>
    <w:lvl w:ilvl="0" w:tplc="09705B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36C49"/>
    <w:multiLevelType w:val="hybridMultilevel"/>
    <w:tmpl w:val="FB5A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53B13"/>
    <w:multiLevelType w:val="hybridMultilevel"/>
    <w:tmpl w:val="291A2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A6195"/>
    <w:multiLevelType w:val="hybridMultilevel"/>
    <w:tmpl w:val="C242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6C734D"/>
    <w:multiLevelType w:val="hybridMultilevel"/>
    <w:tmpl w:val="DAE046F2"/>
    <w:lvl w:ilvl="0" w:tplc="E244E9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F7FB4"/>
    <w:multiLevelType w:val="multilevel"/>
    <w:tmpl w:val="D8F4B89A"/>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6295474"/>
    <w:multiLevelType w:val="hybridMultilevel"/>
    <w:tmpl w:val="FC6EC420"/>
    <w:lvl w:ilvl="0" w:tplc="05DC29D4">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4F674D"/>
    <w:multiLevelType w:val="hybridMultilevel"/>
    <w:tmpl w:val="52B8B28C"/>
    <w:lvl w:ilvl="0" w:tplc="B99629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C64F65"/>
    <w:multiLevelType w:val="hybridMultilevel"/>
    <w:tmpl w:val="99246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B04E96"/>
    <w:multiLevelType w:val="hybridMultilevel"/>
    <w:tmpl w:val="0FB0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775D0"/>
    <w:multiLevelType w:val="hybridMultilevel"/>
    <w:tmpl w:val="148CC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FA28D2"/>
    <w:multiLevelType w:val="hybridMultilevel"/>
    <w:tmpl w:val="791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31429"/>
    <w:multiLevelType w:val="hybridMultilevel"/>
    <w:tmpl w:val="224A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D7035D"/>
    <w:multiLevelType w:val="hybridMultilevel"/>
    <w:tmpl w:val="18C24AEC"/>
    <w:lvl w:ilvl="0" w:tplc="B99629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F01743"/>
    <w:multiLevelType w:val="hybridMultilevel"/>
    <w:tmpl w:val="2D74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242505"/>
    <w:multiLevelType w:val="hybridMultilevel"/>
    <w:tmpl w:val="EA6C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27696"/>
    <w:multiLevelType w:val="hybridMultilevel"/>
    <w:tmpl w:val="42A8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E03D44"/>
    <w:multiLevelType w:val="hybridMultilevel"/>
    <w:tmpl w:val="AC6AD404"/>
    <w:lvl w:ilvl="0" w:tplc="67AA749A">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1C01C6"/>
    <w:multiLevelType w:val="hybridMultilevel"/>
    <w:tmpl w:val="7FA8C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2"/>
  </w:num>
  <w:num w:numId="4">
    <w:abstractNumId w:val="16"/>
  </w:num>
  <w:num w:numId="5">
    <w:abstractNumId w:val="4"/>
  </w:num>
  <w:num w:numId="6">
    <w:abstractNumId w:val="2"/>
  </w:num>
  <w:num w:numId="7">
    <w:abstractNumId w:val="13"/>
  </w:num>
  <w:num w:numId="8">
    <w:abstractNumId w:val="17"/>
  </w:num>
  <w:num w:numId="9">
    <w:abstractNumId w:val="19"/>
  </w:num>
  <w:num w:numId="10">
    <w:abstractNumId w:val="11"/>
  </w:num>
  <w:num w:numId="11">
    <w:abstractNumId w:val="10"/>
  </w:num>
  <w:num w:numId="12">
    <w:abstractNumId w:val="3"/>
  </w:num>
  <w:num w:numId="13">
    <w:abstractNumId w:val="14"/>
  </w:num>
  <w:num w:numId="14">
    <w:abstractNumId w:val="8"/>
  </w:num>
  <w:num w:numId="15">
    <w:abstractNumId w:val="5"/>
  </w:num>
  <w:num w:numId="16">
    <w:abstractNumId w:val="0"/>
  </w:num>
  <w:num w:numId="17">
    <w:abstractNumId w:val="1"/>
  </w:num>
  <w:num w:numId="18">
    <w:abstractNumId w:val="6"/>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86D"/>
    <w:rsid w:val="00004337"/>
    <w:rsid w:val="00013C6E"/>
    <w:rsid w:val="00021641"/>
    <w:rsid w:val="00021651"/>
    <w:rsid w:val="0002229F"/>
    <w:rsid w:val="000242F1"/>
    <w:rsid w:val="0004011D"/>
    <w:rsid w:val="00040210"/>
    <w:rsid w:val="00044E60"/>
    <w:rsid w:val="0004704F"/>
    <w:rsid w:val="00056CBC"/>
    <w:rsid w:val="0008050D"/>
    <w:rsid w:val="00085160"/>
    <w:rsid w:val="000A7ACA"/>
    <w:rsid w:val="000C62BF"/>
    <w:rsid w:val="000C7975"/>
    <w:rsid w:val="000E6DA0"/>
    <w:rsid w:val="001016AF"/>
    <w:rsid w:val="00107255"/>
    <w:rsid w:val="001074AF"/>
    <w:rsid w:val="001075E3"/>
    <w:rsid w:val="00120664"/>
    <w:rsid w:val="00123B4F"/>
    <w:rsid w:val="001444B3"/>
    <w:rsid w:val="00144C8D"/>
    <w:rsid w:val="00145D94"/>
    <w:rsid w:val="00151424"/>
    <w:rsid w:val="001567C7"/>
    <w:rsid w:val="001608D0"/>
    <w:rsid w:val="00171F0E"/>
    <w:rsid w:val="0017475F"/>
    <w:rsid w:val="00174774"/>
    <w:rsid w:val="001770EC"/>
    <w:rsid w:val="00177DBD"/>
    <w:rsid w:val="00181C69"/>
    <w:rsid w:val="00184722"/>
    <w:rsid w:val="00192C79"/>
    <w:rsid w:val="00195322"/>
    <w:rsid w:val="001A4A0C"/>
    <w:rsid w:val="001A7B4D"/>
    <w:rsid w:val="001B75C8"/>
    <w:rsid w:val="001C7FD9"/>
    <w:rsid w:val="001D60A4"/>
    <w:rsid w:val="001D7737"/>
    <w:rsid w:val="001E30CA"/>
    <w:rsid w:val="001F70A9"/>
    <w:rsid w:val="002025F7"/>
    <w:rsid w:val="00203724"/>
    <w:rsid w:val="002125D2"/>
    <w:rsid w:val="00215AF5"/>
    <w:rsid w:val="002169B1"/>
    <w:rsid w:val="00225CA9"/>
    <w:rsid w:val="0023620A"/>
    <w:rsid w:val="00252DDB"/>
    <w:rsid w:val="00256D03"/>
    <w:rsid w:val="00257118"/>
    <w:rsid w:val="002637DE"/>
    <w:rsid w:val="00264C01"/>
    <w:rsid w:val="00271B82"/>
    <w:rsid w:val="002815CA"/>
    <w:rsid w:val="002826F8"/>
    <w:rsid w:val="00286CD7"/>
    <w:rsid w:val="00293047"/>
    <w:rsid w:val="00294173"/>
    <w:rsid w:val="002C673E"/>
    <w:rsid w:val="002E2789"/>
    <w:rsid w:val="002F2954"/>
    <w:rsid w:val="00313B41"/>
    <w:rsid w:val="00315BDB"/>
    <w:rsid w:val="00325B2D"/>
    <w:rsid w:val="00332FD6"/>
    <w:rsid w:val="00341363"/>
    <w:rsid w:val="00341F1C"/>
    <w:rsid w:val="00347235"/>
    <w:rsid w:val="003513BC"/>
    <w:rsid w:val="00351C49"/>
    <w:rsid w:val="00353C0C"/>
    <w:rsid w:val="0036440F"/>
    <w:rsid w:val="0037693E"/>
    <w:rsid w:val="003816F7"/>
    <w:rsid w:val="00382D30"/>
    <w:rsid w:val="00386B14"/>
    <w:rsid w:val="00387569"/>
    <w:rsid w:val="003942B9"/>
    <w:rsid w:val="00395EC4"/>
    <w:rsid w:val="003A055E"/>
    <w:rsid w:val="003A5477"/>
    <w:rsid w:val="003A679A"/>
    <w:rsid w:val="003A78CB"/>
    <w:rsid w:val="003A7CF0"/>
    <w:rsid w:val="003B0F97"/>
    <w:rsid w:val="003B7852"/>
    <w:rsid w:val="003C03B2"/>
    <w:rsid w:val="003C35BA"/>
    <w:rsid w:val="003C6354"/>
    <w:rsid w:val="003E2021"/>
    <w:rsid w:val="003E496A"/>
    <w:rsid w:val="003E6BA6"/>
    <w:rsid w:val="00405DDF"/>
    <w:rsid w:val="00413336"/>
    <w:rsid w:val="00421185"/>
    <w:rsid w:val="004223A3"/>
    <w:rsid w:val="004334E9"/>
    <w:rsid w:val="00441079"/>
    <w:rsid w:val="00453DDD"/>
    <w:rsid w:val="004544E9"/>
    <w:rsid w:val="00460143"/>
    <w:rsid w:val="004602DB"/>
    <w:rsid w:val="00460A21"/>
    <w:rsid w:val="00465C79"/>
    <w:rsid w:val="00472800"/>
    <w:rsid w:val="004741AC"/>
    <w:rsid w:val="00477476"/>
    <w:rsid w:val="0049612C"/>
    <w:rsid w:val="004A095A"/>
    <w:rsid w:val="004B1A08"/>
    <w:rsid w:val="004C6EEF"/>
    <w:rsid w:val="004D0789"/>
    <w:rsid w:val="004D1891"/>
    <w:rsid w:val="004F5E35"/>
    <w:rsid w:val="00511DA1"/>
    <w:rsid w:val="00512461"/>
    <w:rsid w:val="00522AB0"/>
    <w:rsid w:val="00532738"/>
    <w:rsid w:val="00532E81"/>
    <w:rsid w:val="00543F3A"/>
    <w:rsid w:val="00545AB3"/>
    <w:rsid w:val="005574B4"/>
    <w:rsid w:val="0056031C"/>
    <w:rsid w:val="005624CD"/>
    <w:rsid w:val="00573E70"/>
    <w:rsid w:val="00584DA2"/>
    <w:rsid w:val="00584DCF"/>
    <w:rsid w:val="00587571"/>
    <w:rsid w:val="00592153"/>
    <w:rsid w:val="005926BB"/>
    <w:rsid w:val="005A460D"/>
    <w:rsid w:val="005B290A"/>
    <w:rsid w:val="005B3DF7"/>
    <w:rsid w:val="005B4BCE"/>
    <w:rsid w:val="005B5E93"/>
    <w:rsid w:val="005C3B4B"/>
    <w:rsid w:val="005D1324"/>
    <w:rsid w:val="005D14E6"/>
    <w:rsid w:val="005F2071"/>
    <w:rsid w:val="005F3513"/>
    <w:rsid w:val="005F40D9"/>
    <w:rsid w:val="005F5D87"/>
    <w:rsid w:val="00605F95"/>
    <w:rsid w:val="00612285"/>
    <w:rsid w:val="00612DB3"/>
    <w:rsid w:val="00623557"/>
    <w:rsid w:val="00635048"/>
    <w:rsid w:val="0064546E"/>
    <w:rsid w:val="006455C9"/>
    <w:rsid w:val="006562B7"/>
    <w:rsid w:val="00660859"/>
    <w:rsid w:val="00664B65"/>
    <w:rsid w:val="0066788D"/>
    <w:rsid w:val="0067126F"/>
    <w:rsid w:val="00671392"/>
    <w:rsid w:val="00672FB7"/>
    <w:rsid w:val="0067459A"/>
    <w:rsid w:val="00683B69"/>
    <w:rsid w:val="006847F0"/>
    <w:rsid w:val="00684D00"/>
    <w:rsid w:val="00692217"/>
    <w:rsid w:val="00692E32"/>
    <w:rsid w:val="006A62F8"/>
    <w:rsid w:val="006B0486"/>
    <w:rsid w:val="006B64BF"/>
    <w:rsid w:val="006B702A"/>
    <w:rsid w:val="006B79AA"/>
    <w:rsid w:val="006D794C"/>
    <w:rsid w:val="006E6496"/>
    <w:rsid w:val="006E77B3"/>
    <w:rsid w:val="006F3FF5"/>
    <w:rsid w:val="00707904"/>
    <w:rsid w:val="007145DE"/>
    <w:rsid w:val="00717EBE"/>
    <w:rsid w:val="007244B2"/>
    <w:rsid w:val="00745B48"/>
    <w:rsid w:val="00754041"/>
    <w:rsid w:val="00763ED1"/>
    <w:rsid w:val="00771AEF"/>
    <w:rsid w:val="00772324"/>
    <w:rsid w:val="007746C7"/>
    <w:rsid w:val="007761E8"/>
    <w:rsid w:val="00780B81"/>
    <w:rsid w:val="00791FD9"/>
    <w:rsid w:val="00793954"/>
    <w:rsid w:val="0079792C"/>
    <w:rsid w:val="007A65DB"/>
    <w:rsid w:val="007B0106"/>
    <w:rsid w:val="007B14D6"/>
    <w:rsid w:val="007B250C"/>
    <w:rsid w:val="007B293A"/>
    <w:rsid w:val="007B4110"/>
    <w:rsid w:val="007B562C"/>
    <w:rsid w:val="007C2B95"/>
    <w:rsid w:val="007D6088"/>
    <w:rsid w:val="007F0D56"/>
    <w:rsid w:val="007F5623"/>
    <w:rsid w:val="0081324F"/>
    <w:rsid w:val="008233DF"/>
    <w:rsid w:val="00825EE0"/>
    <w:rsid w:val="00825F1D"/>
    <w:rsid w:val="008270C7"/>
    <w:rsid w:val="008308F9"/>
    <w:rsid w:val="00832DED"/>
    <w:rsid w:val="00834D81"/>
    <w:rsid w:val="008413D9"/>
    <w:rsid w:val="008439CA"/>
    <w:rsid w:val="008441D3"/>
    <w:rsid w:val="0084789C"/>
    <w:rsid w:val="00863246"/>
    <w:rsid w:val="008643D2"/>
    <w:rsid w:val="008652EC"/>
    <w:rsid w:val="00880876"/>
    <w:rsid w:val="00892F46"/>
    <w:rsid w:val="008A7E0B"/>
    <w:rsid w:val="008B15E0"/>
    <w:rsid w:val="008B35AD"/>
    <w:rsid w:val="008B5F80"/>
    <w:rsid w:val="008C5C4B"/>
    <w:rsid w:val="008D4B78"/>
    <w:rsid w:val="008F3229"/>
    <w:rsid w:val="00900A26"/>
    <w:rsid w:val="00911F35"/>
    <w:rsid w:val="0091317A"/>
    <w:rsid w:val="00924B4B"/>
    <w:rsid w:val="00930542"/>
    <w:rsid w:val="00931159"/>
    <w:rsid w:val="00932C25"/>
    <w:rsid w:val="009350E4"/>
    <w:rsid w:val="00936045"/>
    <w:rsid w:val="00942407"/>
    <w:rsid w:val="00955687"/>
    <w:rsid w:val="00964153"/>
    <w:rsid w:val="00971FBA"/>
    <w:rsid w:val="00974E9A"/>
    <w:rsid w:val="009761A0"/>
    <w:rsid w:val="00980170"/>
    <w:rsid w:val="00983257"/>
    <w:rsid w:val="0099038F"/>
    <w:rsid w:val="00992016"/>
    <w:rsid w:val="009B2A00"/>
    <w:rsid w:val="009C5CE4"/>
    <w:rsid w:val="009D1F15"/>
    <w:rsid w:val="009D20B5"/>
    <w:rsid w:val="009D319C"/>
    <w:rsid w:val="009E1824"/>
    <w:rsid w:val="009E1D79"/>
    <w:rsid w:val="009E1E6F"/>
    <w:rsid w:val="009F0188"/>
    <w:rsid w:val="00A00666"/>
    <w:rsid w:val="00A10472"/>
    <w:rsid w:val="00A107FF"/>
    <w:rsid w:val="00A32326"/>
    <w:rsid w:val="00A36F4C"/>
    <w:rsid w:val="00A42C3A"/>
    <w:rsid w:val="00A42D0C"/>
    <w:rsid w:val="00A433EE"/>
    <w:rsid w:val="00A44674"/>
    <w:rsid w:val="00A558AB"/>
    <w:rsid w:val="00A56422"/>
    <w:rsid w:val="00A57A6A"/>
    <w:rsid w:val="00A61B73"/>
    <w:rsid w:val="00A666A8"/>
    <w:rsid w:val="00A668CB"/>
    <w:rsid w:val="00A74932"/>
    <w:rsid w:val="00A863CC"/>
    <w:rsid w:val="00A91623"/>
    <w:rsid w:val="00AA13B8"/>
    <w:rsid w:val="00AA2841"/>
    <w:rsid w:val="00AA4366"/>
    <w:rsid w:val="00AA6492"/>
    <w:rsid w:val="00AC2712"/>
    <w:rsid w:val="00AD3BFA"/>
    <w:rsid w:val="00AF004D"/>
    <w:rsid w:val="00B023F3"/>
    <w:rsid w:val="00B041F8"/>
    <w:rsid w:val="00B0694E"/>
    <w:rsid w:val="00B102A3"/>
    <w:rsid w:val="00B116FE"/>
    <w:rsid w:val="00B13843"/>
    <w:rsid w:val="00B35006"/>
    <w:rsid w:val="00B413EB"/>
    <w:rsid w:val="00B430AE"/>
    <w:rsid w:val="00B4496A"/>
    <w:rsid w:val="00B47E85"/>
    <w:rsid w:val="00B50ABF"/>
    <w:rsid w:val="00B50E6E"/>
    <w:rsid w:val="00B53B9B"/>
    <w:rsid w:val="00B5453B"/>
    <w:rsid w:val="00B54C2F"/>
    <w:rsid w:val="00B654CE"/>
    <w:rsid w:val="00B732FB"/>
    <w:rsid w:val="00B77A6B"/>
    <w:rsid w:val="00B85E3E"/>
    <w:rsid w:val="00B95606"/>
    <w:rsid w:val="00B96517"/>
    <w:rsid w:val="00BA6937"/>
    <w:rsid w:val="00BB09D6"/>
    <w:rsid w:val="00BD1A36"/>
    <w:rsid w:val="00BD24B4"/>
    <w:rsid w:val="00BE5D36"/>
    <w:rsid w:val="00BE6F72"/>
    <w:rsid w:val="00BF2D17"/>
    <w:rsid w:val="00BF41D7"/>
    <w:rsid w:val="00C066C6"/>
    <w:rsid w:val="00C131A5"/>
    <w:rsid w:val="00C16C08"/>
    <w:rsid w:val="00C278DD"/>
    <w:rsid w:val="00C3045C"/>
    <w:rsid w:val="00C466D9"/>
    <w:rsid w:val="00C54DC7"/>
    <w:rsid w:val="00C56413"/>
    <w:rsid w:val="00C75384"/>
    <w:rsid w:val="00C771E8"/>
    <w:rsid w:val="00C900C2"/>
    <w:rsid w:val="00C95C8A"/>
    <w:rsid w:val="00C97B9F"/>
    <w:rsid w:val="00CA3331"/>
    <w:rsid w:val="00CA3587"/>
    <w:rsid w:val="00CC2CCC"/>
    <w:rsid w:val="00CF4E18"/>
    <w:rsid w:val="00D04326"/>
    <w:rsid w:val="00D11AAE"/>
    <w:rsid w:val="00D162A1"/>
    <w:rsid w:val="00D20288"/>
    <w:rsid w:val="00D31A3F"/>
    <w:rsid w:val="00D3384D"/>
    <w:rsid w:val="00D56888"/>
    <w:rsid w:val="00D57010"/>
    <w:rsid w:val="00D57F2E"/>
    <w:rsid w:val="00D610E0"/>
    <w:rsid w:val="00D63EB9"/>
    <w:rsid w:val="00D66ABD"/>
    <w:rsid w:val="00D70A74"/>
    <w:rsid w:val="00D7716D"/>
    <w:rsid w:val="00D820BC"/>
    <w:rsid w:val="00D86FDB"/>
    <w:rsid w:val="00D905FB"/>
    <w:rsid w:val="00D90B70"/>
    <w:rsid w:val="00D95902"/>
    <w:rsid w:val="00D95EE8"/>
    <w:rsid w:val="00DA001C"/>
    <w:rsid w:val="00DA636F"/>
    <w:rsid w:val="00DD1EAF"/>
    <w:rsid w:val="00DD2E2D"/>
    <w:rsid w:val="00DD7615"/>
    <w:rsid w:val="00DE064D"/>
    <w:rsid w:val="00DE4B8E"/>
    <w:rsid w:val="00DF0B42"/>
    <w:rsid w:val="00DF3BA6"/>
    <w:rsid w:val="00DF4646"/>
    <w:rsid w:val="00E04D52"/>
    <w:rsid w:val="00E130FA"/>
    <w:rsid w:val="00E14FDE"/>
    <w:rsid w:val="00E231D2"/>
    <w:rsid w:val="00E26FFB"/>
    <w:rsid w:val="00E326E4"/>
    <w:rsid w:val="00E3721E"/>
    <w:rsid w:val="00E441D2"/>
    <w:rsid w:val="00E46085"/>
    <w:rsid w:val="00E94E85"/>
    <w:rsid w:val="00EA7397"/>
    <w:rsid w:val="00EB4A49"/>
    <w:rsid w:val="00EB4D7E"/>
    <w:rsid w:val="00ED2FDF"/>
    <w:rsid w:val="00ED3027"/>
    <w:rsid w:val="00EE7C60"/>
    <w:rsid w:val="00EF0835"/>
    <w:rsid w:val="00EF7F11"/>
    <w:rsid w:val="00F0152D"/>
    <w:rsid w:val="00F1479D"/>
    <w:rsid w:val="00F17DF7"/>
    <w:rsid w:val="00F2586D"/>
    <w:rsid w:val="00F27327"/>
    <w:rsid w:val="00F323E9"/>
    <w:rsid w:val="00F34329"/>
    <w:rsid w:val="00F35DA4"/>
    <w:rsid w:val="00F41C44"/>
    <w:rsid w:val="00F51599"/>
    <w:rsid w:val="00F531F1"/>
    <w:rsid w:val="00F56349"/>
    <w:rsid w:val="00F60B85"/>
    <w:rsid w:val="00F655B4"/>
    <w:rsid w:val="00F65A6F"/>
    <w:rsid w:val="00F65B02"/>
    <w:rsid w:val="00F708A5"/>
    <w:rsid w:val="00F728D3"/>
    <w:rsid w:val="00F72A0C"/>
    <w:rsid w:val="00F86595"/>
    <w:rsid w:val="00F9122C"/>
    <w:rsid w:val="00FA72D0"/>
    <w:rsid w:val="00FC0233"/>
    <w:rsid w:val="00FD5075"/>
    <w:rsid w:val="00FE239B"/>
    <w:rsid w:val="00FE254C"/>
    <w:rsid w:val="00FE288A"/>
    <w:rsid w:val="00FF0DCB"/>
    <w:rsid w:val="00FF3B95"/>
    <w:rsid w:val="00FF4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6D6B8"/>
  <w15:chartTrackingRefBased/>
  <w15:docId w15:val="{AA9012F4-B5A7-47FC-AF97-F64B9EF8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86D"/>
  </w:style>
  <w:style w:type="paragraph" w:styleId="Heading1">
    <w:name w:val="heading 1"/>
    <w:basedOn w:val="Normal"/>
    <w:next w:val="Normal"/>
    <w:link w:val="Heading1Char"/>
    <w:uiPriority w:val="9"/>
    <w:qFormat/>
    <w:rsid w:val="00177D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6B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6D"/>
    <w:pPr>
      <w:ind w:left="720"/>
      <w:contextualSpacing/>
    </w:pPr>
  </w:style>
  <w:style w:type="paragraph" w:styleId="FootnoteText">
    <w:name w:val="footnote text"/>
    <w:basedOn w:val="Normal"/>
    <w:link w:val="FootnoteTextChar"/>
    <w:uiPriority w:val="99"/>
    <w:semiHidden/>
    <w:unhideWhenUsed/>
    <w:rsid w:val="001072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7255"/>
    <w:rPr>
      <w:sz w:val="20"/>
      <w:szCs w:val="20"/>
    </w:rPr>
  </w:style>
  <w:style w:type="character" w:styleId="FootnoteReference">
    <w:name w:val="footnote reference"/>
    <w:basedOn w:val="DefaultParagraphFont"/>
    <w:uiPriority w:val="99"/>
    <w:semiHidden/>
    <w:unhideWhenUsed/>
    <w:rsid w:val="00107255"/>
    <w:rPr>
      <w:vertAlign w:val="superscript"/>
    </w:rPr>
  </w:style>
  <w:style w:type="character" w:customStyle="1" w:styleId="Heading1Char">
    <w:name w:val="Heading 1 Char"/>
    <w:basedOn w:val="DefaultParagraphFont"/>
    <w:link w:val="Heading1"/>
    <w:uiPriority w:val="9"/>
    <w:rsid w:val="00177DB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77DBD"/>
    <w:pPr>
      <w:outlineLvl w:val="9"/>
    </w:pPr>
    <w:rPr>
      <w:lang w:val="en-US"/>
    </w:rPr>
  </w:style>
  <w:style w:type="paragraph" w:styleId="TOC1">
    <w:name w:val="toc 1"/>
    <w:basedOn w:val="Normal"/>
    <w:next w:val="Normal"/>
    <w:autoRedefine/>
    <w:uiPriority w:val="39"/>
    <w:unhideWhenUsed/>
    <w:rsid w:val="00177DBD"/>
    <w:pPr>
      <w:spacing w:after="100"/>
    </w:pPr>
  </w:style>
  <w:style w:type="character" w:styleId="Hyperlink">
    <w:name w:val="Hyperlink"/>
    <w:basedOn w:val="DefaultParagraphFont"/>
    <w:uiPriority w:val="99"/>
    <w:unhideWhenUsed/>
    <w:rsid w:val="00177DBD"/>
    <w:rPr>
      <w:color w:val="0563C1" w:themeColor="hyperlink"/>
      <w:u w:val="single"/>
    </w:rPr>
  </w:style>
  <w:style w:type="character" w:customStyle="1" w:styleId="Heading2Char">
    <w:name w:val="Heading 2 Char"/>
    <w:basedOn w:val="DefaultParagraphFont"/>
    <w:link w:val="Heading2"/>
    <w:uiPriority w:val="9"/>
    <w:rsid w:val="003E6B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3E6BA6"/>
    <w:pPr>
      <w:spacing w:after="100"/>
      <w:ind w:left="220"/>
    </w:pPr>
  </w:style>
  <w:style w:type="table" w:styleId="TableGrid">
    <w:name w:val="Table Grid"/>
    <w:basedOn w:val="TableNormal"/>
    <w:uiPriority w:val="39"/>
    <w:rsid w:val="00B04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6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D7"/>
  </w:style>
  <w:style w:type="paragraph" w:styleId="Footer">
    <w:name w:val="footer"/>
    <w:basedOn w:val="Normal"/>
    <w:link w:val="FooterChar"/>
    <w:uiPriority w:val="99"/>
    <w:unhideWhenUsed/>
    <w:rsid w:val="00286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D7"/>
  </w:style>
  <w:style w:type="character" w:styleId="CommentReference">
    <w:name w:val="annotation reference"/>
    <w:basedOn w:val="DefaultParagraphFont"/>
    <w:uiPriority w:val="99"/>
    <w:semiHidden/>
    <w:unhideWhenUsed/>
    <w:rsid w:val="00A74932"/>
    <w:rPr>
      <w:sz w:val="16"/>
      <w:szCs w:val="16"/>
    </w:rPr>
  </w:style>
  <w:style w:type="paragraph" w:styleId="CommentText">
    <w:name w:val="annotation text"/>
    <w:basedOn w:val="Normal"/>
    <w:link w:val="CommentTextChar"/>
    <w:uiPriority w:val="99"/>
    <w:unhideWhenUsed/>
    <w:rsid w:val="00A74932"/>
    <w:pPr>
      <w:spacing w:line="240" w:lineRule="auto"/>
    </w:pPr>
    <w:rPr>
      <w:sz w:val="20"/>
      <w:szCs w:val="20"/>
    </w:rPr>
  </w:style>
  <w:style w:type="character" w:customStyle="1" w:styleId="CommentTextChar">
    <w:name w:val="Comment Text Char"/>
    <w:basedOn w:val="DefaultParagraphFont"/>
    <w:link w:val="CommentText"/>
    <w:uiPriority w:val="99"/>
    <w:rsid w:val="00A74932"/>
    <w:rPr>
      <w:sz w:val="20"/>
      <w:szCs w:val="20"/>
    </w:rPr>
  </w:style>
  <w:style w:type="character" w:styleId="FollowedHyperlink">
    <w:name w:val="FollowedHyperlink"/>
    <w:basedOn w:val="DefaultParagraphFont"/>
    <w:uiPriority w:val="99"/>
    <w:semiHidden/>
    <w:unhideWhenUsed/>
    <w:rsid w:val="00A7493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2229F"/>
    <w:rPr>
      <w:b/>
      <w:bCs/>
    </w:rPr>
  </w:style>
  <w:style w:type="character" w:customStyle="1" w:styleId="CommentSubjectChar">
    <w:name w:val="Comment Subject Char"/>
    <w:basedOn w:val="CommentTextChar"/>
    <w:link w:val="CommentSubject"/>
    <w:uiPriority w:val="99"/>
    <w:semiHidden/>
    <w:rsid w:val="0002229F"/>
    <w:rPr>
      <w:b/>
      <w:bCs/>
      <w:sz w:val="20"/>
      <w:szCs w:val="20"/>
    </w:rPr>
  </w:style>
  <w:style w:type="paragraph" w:styleId="BalloonText">
    <w:name w:val="Balloon Text"/>
    <w:basedOn w:val="Normal"/>
    <w:link w:val="BalloonTextChar"/>
    <w:uiPriority w:val="99"/>
    <w:semiHidden/>
    <w:unhideWhenUsed/>
    <w:rsid w:val="00022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29F"/>
    <w:rPr>
      <w:rFonts w:ascii="Segoe UI" w:hAnsi="Segoe UI" w:cs="Segoe UI"/>
      <w:sz w:val="18"/>
      <w:szCs w:val="18"/>
    </w:rPr>
  </w:style>
  <w:style w:type="paragraph" w:styleId="EndnoteText">
    <w:name w:val="endnote text"/>
    <w:basedOn w:val="Normal"/>
    <w:link w:val="EndnoteTextChar"/>
    <w:uiPriority w:val="99"/>
    <w:semiHidden/>
    <w:unhideWhenUsed/>
    <w:rsid w:val="00EF08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0835"/>
    <w:rPr>
      <w:sz w:val="20"/>
      <w:szCs w:val="20"/>
    </w:rPr>
  </w:style>
  <w:style w:type="character" w:styleId="EndnoteReference">
    <w:name w:val="endnote reference"/>
    <w:basedOn w:val="DefaultParagraphFont"/>
    <w:uiPriority w:val="99"/>
    <w:semiHidden/>
    <w:unhideWhenUsed/>
    <w:rsid w:val="00EF08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53467">
      <w:bodyDiv w:val="1"/>
      <w:marLeft w:val="0"/>
      <w:marRight w:val="0"/>
      <w:marTop w:val="0"/>
      <w:marBottom w:val="0"/>
      <w:divBdr>
        <w:top w:val="none" w:sz="0" w:space="0" w:color="auto"/>
        <w:left w:val="none" w:sz="0" w:space="0" w:color="auto"/>
        <w:bottom w:val="none" w:sz="0" w:space="0" w:color="auto"/>
        <w:right w:val="none" w:sz="0" w:space="0" w:color="auto"/>
      </w:divBdr>
    </w:div>
    <w:div w:id="542407874">
      <w:bodyDiv w:val="1"/>
      <w:marLeft w:val="0"/>
      <w:marRight w:val="0"/>
      <w:marTop w:val="0"/>
      <w:marBottom w:val="0"/>
      <w:divBdr>
        <w:top w:val="none" w:sz="0" w:space="0" w:color="auto"/>
        <w:left w:val="none" w:sz="0" w:space="0" w:color="auto"/>
        <w:bottom w:val="none" w:sz="0" w:space="0" w:color="auto"/>
        <w:right w:val="none" w:sz="0" w:space="0" w:color="auto"/>
      </w:divBdr>
    </w:div>
    <w:div w:id="602421434">
      <w:bodyDiv w:val="1"/>
      <w:marLeft w:val="0"/>
      <w:marRight w:val="0"/>
      <w:marTop w:val="0"/>
      <w:marBottom w:val="0"/>
      <w:divBdr>
        <w:top w:val="none" w:sz="0" w:space="0" w:color="auto"/>
        <w:left w:val="none" w:sz="0" w:space="0" w:color="auto"/>
        <w:bottom w:val="none" w:sz="0" w:space="0" w:color="auto"/>
        <w:right w:val="none" w:sz="0" w:space="0" w:color="auto"/>
      </w:divBdr>
    </w:div>
    <w:div w:id="816915666">
      <w:bodyDiv w:val="1"/>
      <w:marLeft w:val="0"/>
      <w:marRight w:val="0"/>
      <w:marTop w:val="0"/>
      <w:marBottom w:val="0"/>
      <w:divBdr>
        <w:top w:val="none" w:sz="0" w:space="0" w:color="auto"/>
        <w:left w:val="none" w:sz="0" w:space="0" w:color="auto"/>
        <w:bottom w:val="none" w:sz="0" w:space="0" w:color="auto"/>
        <w:right w:val="none" w:sz="0" w:space="0" w:color="auto"/>
      </w:divBdr>
    </w:div>
    <w:div w:id="818378287">
      <w:bodyDiv w:val="1"/>
      <w:marLeft w:val="0"/>
      <w:marRight w:val="0"/>
      <w:marTop w:val="0"/>
      <w:marBottom w:val="0"/>
      <w:divBdr>
        <w:top w:val="none" w:sz="0" w:space="0" w:color="auto"/>
        <w:left w:val="none" w:sz="0" w:space="0" w:color="auto"/>
        <w:bottom w:val="none" w:sz="0" w:space="0" w:color="auto"/>
        <w:right w:val="none" w:sz="0" w:space="0" w:color="auto"/>
      </w:divBdr>
    </w:div>
    <w:div w:id="1282226689">
      <w:bodyDiv w:val="1"/>
      <w:marLeft w:val="0"/>
      <w:marRight w:val="0"/>
      <w:marTop w:val="0"/>
      <w:marBottom w:val="0"/>
      <w:divBdr>
        <w:top w:val="none" w:sz="0" w:space="0" w:color="auto"/>
        <w:left w:val="none" w:sz="0" w:space="0" w:color="auto"/>
        <w:bottom w:val="none" w:sz="0" w:space="0" w:color="auto"/>
        <w:right w:val="none" w:sz="0" w:space="0" w:color="auto"/>
      </w:divBdr>
    </w:div>
    <w:div w:id="1811286613">
      <w:bodyDiv w:val="1"/>
      <w:marLeft w:val="0"/>
      <w:marRight w:val="0"/>
      <w:marTop w:val="0"/>
      <w:marBottom w:val="0"/>
      <w:divBdr>
        <w:top w:val="none" w:sz="0" w:space="0" w:color="auto"/>
        <w:left w:val="none" w:sz="0" w:space="0" w:color="auto"/>
        <w:bottom w:val="none" w:sz="0" w:space="0" w:color="auto"/>
        <w:right w:val="none" w:sz="0" w:space="0" w:color="auto"/>
      </w:divBdr>
    </w:div>
    <w:div w:id="1987321454">
      <w:bodyDiv w:val="1"/>
      <w:marLeft w:val="0"/>
      <w:marRight w:val="0"/>
      <w:marTop w:val="0"/>
      <w:marBottom w:val="0"/>
      <w:divBdr>
        <w:top w:val="none" w:sz="0" w:space="0" w:color="auto"/>
        <w:left w:val="none" w:sz="0" w:space="0" w:color="auto"/>
        <w:bottom w:val="none" w:sz="0" w:space="0" w:color="auto"/>
        <w:right w:val="none" w:sz="0" w:space="0" w:color="auto"/>
      </w:divBdr>
    </w:div>
    <w:div w:id="198947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s>
</file>

<file path=word/_rels/footnotes.xml.rels><?xml version="1.0" encoding="UTF-8" standalone="yes"?>
<Relationships xmlns="http://schemas.openxmlformats.org/package/2006/relationships"><Relationship Id="rId8" Type="http://schemas.openxmlformats.org/officeDocument/2006/relationships/hyperlink" Target="https://fingertips.phe.org.uk/search/life%20expectancy" TargetMode="External"/><Relationship Id="rId13" Type="http://schemas.openxmlformats.org/officeDocument/2006/relationships/hyperlink" Target="https://lginform.local.gov.uk/reports/view/send-research/local-area-send-report?mod-area=E06000014&amp;mod-group=CIPFA_Near_Neighbours&amp;mod-type=comparisonGroupType" TargetMode="External"/><Relationship Id="rId18" Type="http://schemas.openxmlformats.org/officeDocument/2006/relationships/hyperlink" Target="https://www.york.gov.uk/downloads/file/1185/all-age-autism-strategy-2017-21" TargetMode="External"/><Relationship Id="rId3" Type="http://schemas.openxmlformats.org/officeDocument/2006/relationships/hyperlink" Target="https://www.ons.gov.uk/peoplepopulationandcommunity/birthsdeathsandmarriages/livebirths/bulletins/parentscountryofbirthenglandandwales/2018" TargetMode="External"/><Relationship Id="rId7" Type="http://schemas.openxmlformats.org/officeDocument/2006/relationships/hyperlink" Target="https://fingertips.phe.org.uk/search/dental" TargetMode="External"/><Relationship Id="rId12" Type="http://schemas.openxmlformats.org/officeDocument/2006/relationships/hyperlink" Target="https://fingertips.phe.org.uk/search/school%20readiness" TargetMode="External"/><Relationship Id="rId17" Type="http://schemas.openxmlformats.org/officeDocument/2006/relationships/hyperlink" Target="https://democracy.york.gov.uk/documents/s130922/Annex%20A%20-%20All%20Age%20Learning%20Disabilities%20Strategy%20final%20draft.pdf" TargetMode="External"/><Relationship Id="rId2" Type="http://schemas.openxmlformats.org/officeDocument/2006/relationships/hyperlink" Target="https://files.ofsted.gov.uk/v1/file/50147360" TargetMode="External"/><Relationship Id="rId16" Type="http://schemas.openxmlformats.org/officeDocument/2006/relationships/hyperlink" Target="https://www.google.com/url?sa=t&amp;rct=j&amp;q=&amp;esrc=s&amp;source=web&amp;cd=2&amp;cad=rja&amp;uact=8&amp;ved=2ahUKEwjg8PfDkrrnAhXb8uAKHd8BBssQFjABegQIARAB&amp;url=https%3A%2F%2Fwww.adph.org.uk%2Fwp-content%2Fuploads%2F2019%2F06%2FWhat-Good-Children-and-Young-Peoples-Public-Health-Looks-Like.pdf&amp;usg=AOvVaw2di4Y2_V5mqmb-YnHQBL8r" TargetMode="External"/><Relationship Id="rId1" Type="http://schemas.openxmlformats.org/officeDocument/2006/relationships/hyperlink" Target="https://www.gov.uk/government/publications/send-code-of-practice-0-to-25" TargetMode="External"/><Relationship Id="rId6" Type="http://schemas.openxmlformats.org/officeDocument/2006/relationships/hyperlink" Target="https://digital.nhs.uk/data-and-information/publications/statistical/mental-health-of-children-and-young-people-in-england/2017/2017" TargetMode="External"/><Relationship Id="rId11" Type="http://schemas.openxmlformats.org/officeDocument/2006/relationships/hyperlink" Target="https://www.jrf.org.uk/report/special-educational-needs-and-their-links-poverty" TargetMode="External"/><Relationship Id="rId5" Type="http://schemas.openxmlformats.org/officeDocument/2006/relationships/hyperlink" Target="https://fingertips.phe.org.uk/profile/national-child-measurement-programme/data" TargetMode="External"/><Relationship Id="rId15" Type="http://schemas.openxmlformats.org/officeDocument/2006/relationships/hyperlink" Target="https://lginform.local.gov.uk/reports/lgastandard?mod-metric=10605&amp;mod-area=E06000014&amp;mod-group=AllUnitaryLaInCountry_England&amp;mod-type=namedComparisonGroup" TargetMode="External"/><Relationship Id="rId10" Type="http://schemas.openxmlformats.org/officeDocument/2006/relationships/hyperlink" Target="https://www.yor-ok.org.uk/families/Local%20Offer/specialist-early-years-support.htm" TargetMode="External"/><Relationship Id="rId19" Type="http://schemas.openxmlformats.org/officeDocument/2006/relationships/hyperlink" Target="https://www.ons.gov.uk/peoplepopulationandcommunity/populationandmigration/populationestimates/bulletins/annualmidyearpopulationestimates/mid2019estimates" TargetMode="External"/><Relationship Id="rId4" Type="http://schemas.openxmlformats.org/officeDocument/2006/relationships/hyperlink" Target="https://fingertips.phe.org.uk/profile/child-health-profiles/data" TargetMode="External"/><Relationship Id="rId9" Type="http://schemas.openxmlformats.org/officeDocument/2006/relationships/hyperlink" Target="https://fingertips.phe.org.uk/search/life%20expectancy" TargetMode="External"/><Relationship Id="rId14" Type="http://schemas.openxmlformats.org/officeDocument/2006/relationships/hyperlink" Target="https://lginform.local.gov.uk/reports/lgastandard?mod-metric=10605&amp;mod-area=E06000014&amp;mod-group=AllUnitaryLaInCountry_England&amp;mod-type=namedComparisonGrou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eldata\eldata$\Public%20Health\JSNA\Joint%20Strategic%20Needs%20Assessment\Topic%20Specific%20Needs%20Assessments\SEND\age%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EHCP</a:t>
            </a:r>
            <a:r>
              <a:rPr lang="en-GB" baseline="0"/>
              <a:t> primary need, by age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996086546128329E-2"/>
          <c:y val="0.15037481259370317"/>
          <c:w val="0.88262988287554223"/>
          <c:h val="0.53316530711022436"/>
        </c:manualLayout>
      </c:layout>
      <c:lineChart>
        <c:grouping val="standard"/>
        <c:varyColors val="0"/>
        <c:ser>
          <c:idx val="0"/>
          <c:order val="0"/>
          <c:tx>
            <c:strRef>
              <c:f>'[Chart in Microsoft Word]school census age and SEND '!$A$17</c:f>
              <c:strCache>
                <c:ptCount val="1"/>
                <c:pt idx="0">
                  <c:v>Cognition / Learning</c:v>
                </c:pt>
              </c:strCache>
            </c:strRef>
          </c:tx>
          <c:spPr>
            <a:ln w="28575" cap="rnd">
              <a:solidFill>
                <a:schemeClr val="accent1"/>
              </a:solidFill>
              <a:round/>
            </a:ln>
            <a:effectLst/>
          </c:spPr>
          <c:marker>
            <c:symbol val="none"/>
          </c:marker>
          <c:cat>
            <c:numRef>
              <c:f>'[Chart in Microsoft Word]school census age and SEND '!$E$16:$P$16</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'[Chart in Microsoft Word]school census age and SEND '!$E$17:$P$17</c:f>
              <c:numCache>
                <c:formatCode>General</c:formatCode>
                <c:ptCount val="12"/>
                <c:pt idx="0">
                  <c:v>4</c:v>
                </c:pt>
                <c:pt idx="1">
                  <c:v>6</c:v>
                </c:pt>
                <c:pt idx="2">
                  <c:v>9</c:v>
                </c:pt>
                <c:pt idx="3">
                  <c:v>13</c:v>
                </c:pt>
                <c:pt idx="4">
                  <c:v>11</c:v>
                </c:pt>
                <c:pt idx="5">
                  <c:v>16</c:v>
                </c:pt>
                <c:pt idx="6">
                  <c:v>28</c:v>
                </c:pt>
                <c:pt idx="7">
                  <c:v>19</c:v>
                </c:pt>
                <c:pt idx="8">
                  <c:v>13</c:v>
                </c:pt>
                <c:pt idx="9">
                  <c:v>18</c:v>
                </c:pt>
                <c:pt idx="10">
                  <c:v>15</c:v>
                </c:pt>
                <c:pt idx="11">
                  <c:v>10</c:v>
                </c:pt>
              </c:numCache>
            </c:numRef>
          </c:val>
          <c:smooth val="0"/>
          <c:extLst>
            <c:ext xmlns:c16="http://schemas.microsoft.com/office/drawing/2014/chart" uri="{C3380CC4-5D6E-409C-BE32-E72D297353CC}">
              <c16:uniqueId val="{00000000-00EC-4844-8A70-E51D9C8920CB}"/>
            </c:ext>
          </c:extLst>
        </c:ser>
        <c:ser>
          <c:idx val="1"/>
          <c:order val="1"/>
          <c:tx>
            <c:strRef>
              <c:f>'[Chart in Microsoft Word]school census age and SEND '!$A$18</c:f>
              <c:strCache>
                <c:ptCount val="1"/>
                <c:pt idx="0">
                  <c:v>Communication / Interaction</c:v>
                </c:pt>
              </c:strCache>
            </c:strRef>
          </c:tx>
          <c:spPr>
            <a:ln w="28575" cap="rnd">
              <a:solidFill>
                <a:schemeClr val="accent2"/>
              </a:solidFill>
              <a:round/>
            </a:ln>
            <a:effectLst/>
          </c:spPr>
          <c:marker>
            <c:symbol val="none"/>
          </c:marker>
          <c:cat>
            <c:numRef>
              <c:f>'[Chart in Microsoft Word]school census age and SEND '!$E$16:$P$16</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'[Chart in Microsoft Word]school census age and SEND '!$E$18:$P$18</c:f>
              <c:numCache>
                <c:formatCode>General</c:formatCode>
                <c:ptCount val="12"/>
                <c:pt idx="0">
                  <c:v>17</c:v>
                </c:pt>
                <c:pt idx="1">
                  <c:v>21</c:v>
                </c:pt>
                <c:pt idx="2">
                  <c:v>37</c:v>
                </c:pt>
                <c:pt idx="3">
                  <c:v>29</c:v>
                </c:pt>
                <c:pt idx="4">
                  <c:v>29</c:v>
                </c:pt>
                <c:pt idx="5">
                  <c:v>35</c:v>
                </c:pt>
                <c:pt idx="6">
                  <c:v>22</c:v>
                </c:pt>
                <c:pt idx="7">
                  <c:v>31</c:v>
                </c:pt>
                <c:pt idx="8">
                  <c:v>39</c:v>
                </c:pt>
                <c:pt idx="9">
                  <c:v>22</c:v>
                </c:pt>
                <c:pt idx="10">
                  <c:v>25</c:v>
                </c:pt>
                <c:pt idx="11">
                  <c:v>18</c:v>
                </c:pt>
              </c:numCache>
            </c:numRef>
          </c:val>
          <c:smooth val="0"/>
          <c:extLst>
            <c:ext xmlns:c16="http://schemas.microsoft.com/office/drawing/2014/chart" uri="{C3380CC4-5D6E-409C-BE32-E72D297353CC}">
              <c16:uniqueId val="{00000001-00EC-4844-8A70-E51D9C8920CB}"/>
            </c:ext>
          </c:extLst>
        </c:ser>
        <c:ser>
          <c:idx val="2"/>
          <c:order val="2"/>
          <c:tx>
            <c:strRef>
              <c:f>'[Chart in Microsoft Word]school census age and SEND '!$A$19</c:f>
              <c:strCache>
                <c:ptCount val="1"/>
                <c:pt idx="0">
                  <c:v>Sensory / Physical</c:v>
                </c:pt>
              </c:strCache>
            </c:strRef>
          </c:tx>
          <c:spPr>
            <a:ln w="28575" cap="rnd">
              <a:solidFill>
                <a:schemeClr val="accent3"/>
              </a:solidFill>
              <a:round/>
            </a:ln>
            <a:effectLst/>
          </c:spPr>
          <c:marker>
            <c:symbol val="none"/>
          </c:marker>
          <c:cat>
            <c:numRef>
              <c:f>'[Chart in Microsoft Word]school census age and SEND '!$E$16:$P$16</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'[Chart in Microsoft Word]school census age and SEND '!$E$19:$P$19</c:f>
              <c:numCache>
                <c:formatCode>General</c:formatCode>
                <c:ptCount val="12"/>
                <c:pt idx="0">
                  <c:v>7</c:v>
                </c:pt>
                <c:pt idx="1">
                  <c:v>6</c:v>
                </c:pt>
                <c:pt idx="2">
                  <c:v>6</c:v>
                </c:pt>
                <c:pt idx="3">
                  <c:v>12</c:v>
                </c:pt>
                <c:pt idx="4">
                  <c:v>7</c:v>
                </c:pt>
                <c:pt idx="5">
                  <c:v>6</c:v>
                </c:pt>
                <c:pt idx="6">
                  <c:v>4</c:v>
                </c:pt>
                <c:pt idx="7">
                  <c:v>4</c:v>
                </c:pt>
                <c:pt idx="8">
                  <c:v>5</c:v>
                </c:pt>
                <c:pt idx="9">
                  <c:v>7</c:v>
                </c:pt>
                <c:pt idx="10">
                  <c:v>9</c:v>
                </c:pt>
                <c:pt idx="11">
                  <c:v>4</c:v>
                </c:pt>
              </c:numCache>
            </c:numRef>
          </c:val>
          <c:smooth val="0"/>
          <c:extLst>
            <c:ext xmlns:c16="http://schemas.microsoft.com/office/drawing/2014/chart" uri="{C3380CC4-5D6E-409C-BE32-E72D297353CC}">
              <c16:uniqueId val="{00000002-00EC-4844-8A70-E51D9C8920CB}"/>
            </c:ext>
          </c:extLst>
        </c:ser>
        <c:ser>
          <c:idx val="3"/>
          <c:order val="3"/>
          <c:tx>
            <c:strRef>
              <c:f>'[Chart in Microsoft Word]school census age and SEND '!$A$20</c:f>
              <c:strCache>
                <c:ptCount val="1"/>
                <c:pt idx="0">
                  <c:v>Social / Emotional / Mental Health</c:v>
                </c:pt>
              </c:strCache>
            </c:strRef>
          </c:tx>
          <c:spPr>
            <a:ln w="28575" cap="rnd">
              <a:solidFill>
                <a:schemeClr val="accent4"/>
              </a:solidFill>
              <a:round/>
            </a:ln>
            <a:effectLst/>
          </c:spPr>
          <c:marker>
            <c:symbol val="none"/>
          </c:marker>
          <c:cat>
            <c:numRef>
              <c:f>'[Chart in Microsoft Word]school census age and SEND '!$E$16:$P$16</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'[Chart in Microsoft Word]school census age and SEND '!$E$20:$P$20</c:f>
              <c:numCache>
                <c:formatCode>General</c:formatCode>
                <c:ptCount val="12"/>
                <c:pt idx="0">
                  <c:v>4</c:v>
                </c:pt>
                <c:pt idx="1">
                  <c:v>7</c:v>
                </c:pt>
                <c:pt idx="2">
                  <c:v>4</c:v>
                </c:pt>
                <c:pt idx="3">
                  <c:v>6</c:v>
                </c:pt>
                <c:pt idx="4">
                  <c:v>7</c:v>
                </c:pt>
                <c:pt idx="5">
                  <c:v>8</c:v>
                </c:pt>
                <c:pt idx="6">
                  <c:v>10</c:v>
                </c:pt>
                <c:pt idx="7">
                  <c:v>10</c:v>
                </c:pt>
                <c:pt idx="8">
                  <c:v>14</c:v>
                </c:pt>
                <c:pt idx="9">
                  <c:v>10</c:v>
                </c:pt>
                <c:pt idx="10">
                  <c:v>14</c:v>
                </c:pt>
                <c:pt idx="11">
                  <c:v>6</c:v>
                </c:pt>
              </c:numCache>
            </c:numRef>
          </c:val>
          <c:smooth val="0"/>
          <c:extLst>
            <c:ext xmlns:c16="http://schemas.microsoft.com/office/drawing/2014/chart" uri="{C3380CC4-5D6E-409C-BE32-E72D297353CC}">
              <c16:uniqueId val="{00000003-00EC-4844-8A70-E51D9C8920CB}"/>
            </c:ext>
          </c:extLst>
        </c:ser>
        <c:ser>
          <c:idx val="4"/>
          <c:order val="4"/>
          <c:tx>
            <c:strRef>
              <c:f>'[Chart in Microsoft Word]school census age and SEND '!$A$21</c:f>
              <c:strCache>
                <c:ptCount val="1"/>
                <c:pt idx="0">
                  <c:v>Other</c:v>
                </c:pt>
              </c:strCache>
            </c:strRef>
          </c:tx>
          <c:spPr>
            <a:ln w="28575" cap="rnd">
              <a:solidFill>
                <a:schemeClr val="accent5"/>
              </a:solidFill>
              <a:round/>
            </a:ln>
            <a:effectLst/>
          </c:spPr>
          <c:marker>
            <c:symbol val="none"/>
          </c:marker>
          <c:cat>
            <c:numRef>
              <c:f>'[Chart in Microsoft Word]school census age and SEND '!$E$16:$P$16</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'[Chart in Microsoft Word]school census age and SEND '!$E$21:$P$21</c:f>
              <c:numCache>
                <c:formatCode>General</c:formatCode>
                <c:ptCount val="12"/>
                <c:pt idx="0">
                  <c:v>2</c:v>
                </c:pt>
                <c:pt idx="1">
                  <c:v>3</c:v>
                </c:pt>
                <c:pt idx="2">
                  <c:v>3</c:v>
                </c:pt>
                <c:pt idx="3">
                  <c:v>1</c:v>
                </c:pt>
                <c:pt idx="4">
                  <c:v>0</c:v>
                </c:pt>
                <c:pt idx="5">
                  <c:v>1</c:v>
                </c:pt>
                <c:pt idx="6">
                  <c:v>3</c:v>
                </c:pt>
                <c:pt idx="7">
                  <c:v>0</c:v>
                </c:pt>
                <c:pt idx="8">
                  <c:v>0</c:v>
                </c:pt>
                <c:pt idx="9">
                  <c:v>2</c:v>
                </c:pt>
                <c:pt idx="10">
                  <c:v>1</c:v>
                </c:pt>
                <c:pt idx="11">
                  <c:v>2</c:v>
                </c:pt>
              </c:numCache>
            </c:numRef>
          </c:val>
          <c:smooth val="0"/>
          <c:extLst>
            <c:ext xmlns:c16="http://schemas.microsoft.com/office/drawing/2014/chart" uri="{C3380CC4-5D6E-409C-BE32-E72D297353CC}">
              <c16:uniqueId val="{00000004-00EC-4844-8A70-E51D9C8920CB}"/>
            </c:ext>
          </c:extLst>
        </c:ser>
        <c:dLbls>
          <c:showLegendKey val="0"/>
          <c:showVal val="0"/>
          <c:showCatName val="0"/>
          <c:showSerName val="0"/>
          <c:showPercent val="0"/>
          <c:showBubbleSize val="0"/>
        </c:dLbls>
        <c:smooth val="0"/>
        <c:axId val="518698959"/>
        <c:axId val="518708111"/>
      </c:lineChart>
      <c:catAx>
        <c:axId val="5186989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8111"/>
        <c:crosses val="autoZero"/>
        <c:auto val="1"/>
        <c:lblAlgn val="ctr"/>
        <c:lblOffset val="100"/>
        <c:noMultiLvlLbl val="0"/>
      </c:catAx>
      <c:valAx>
        <c:axId val="518708111"/>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EHCPs</a:t>
                </a:r>
              </a:p>
            </c:rich>
          </c:tx>
          <c:layout>
            <c:manualLayout>
              <c:xMode val="edge"/>
              <c:yMode val="edge"/>
              <c:x val="1.2840595235810458E-2"/>
              <c:y val="0.222604445808591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698959"/>
        <c:crosses val="autoZero"/>
        <c:crossBetween val="between"/>
      </c:valAx>
      <c:spPr>
        <a:noFill/>
        <a:ln>
          <a:noFill/>
        </a:ln>
        <a:effectLst/>
      </c:spPr>
    </c:plotArea>
    <c:legend>
      <c:legendPos val="b"/>
      <c:layout>
        <c:manualLayout>
          <c:xMode val="edge"/>
          <c:yMode val="edge"/>
          <c:x val="9.4480512116353277E-2"/>
          <c:y val="0.79947349160065639"/>
          <c:w val="0.82211808057562508"/>
          <c:h val="0.170541500903091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Free school meals recipient</a:t>
            </a:r>
            <a:r>
              <a:rPr lang="en-GB" sz="1200" baseline="0"/>
              <a:t> %, by SEND and school stage </a:t>
            </a:r>
            <a:endParaRPr lang="en-GB"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074198652479472E-2"/>
          <c:y val="0.15033615379730758"/>
          <c:w val="0.87778727092876885"/>
          <c:h val="0.66331765820939059"/>
        </c:manualLayout>
      </c:layout>
      <c:barChart>
        <c:barDir val="col"/>
        <c:grouping val="clustered"/>
        <c:varyColors val="0"/>
        <c:ser>
          <c:idx val="0"/>
          <c:order val="0"/>
          <c:tx>
            <c:strRef>
              <c:f>'FSM and SEN'!$H$15</c:f>
              <c:strCache>
                <c:ptCount val="1"/>
                <c:pt idx="0">
                  <c:v>FSM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'FSM and SEN'!$I$14:$J$14</c:f>
              <c:strCache>
                <c:ptCount val="2"/>
                <c:pt idx="0">
                  <c:v>Primary </c:v>
                </c:pt>
                <c:pt idx="1">
                  <c:v>Secondary </c:v>
                </c:pt>
              </c:strCache>
            </c:strRef>
          </c:cat>
          <c:val>
            <c:numRef>
              <c:f>'FSM and SEN'!$I$15:$J$15</c:f>
              <c:numCache>
                <c:formatCode>0%</c:formatCode>
                <c:ptCount val="2"/>
                <c:pt idx="0">
                  <c:v>0.11</c:v>
                </c:pt>
                <c:pt idx="1">
                  <c:v>0.09</c:v>
                </c:pt>
              </c:numCache>
            </c:numRef>
          </c:val>
          <c:extLst>
            <c:ext xmlns:c16="http://schemas.microsoft.com/office/drawing/2014/chart" uri="{C3380CC4-5D6E-409C-BE32-E72D297353CC}">
              <c16:uniqueId val="{00000000-345F-4257-B3F5-78A2B31C274A}"/>
            </c:ext>
          </c:extLst>
        </c:ser>
        <c:ser>
          <c:idx val="1"/>
          <c:order val="1"/>
          <c:tx>
            <c:strRef>
              <c:f>'FSM and SEN'!$H$16</c:f>
              <c:strCache>
                <c:ptCount val="1"/>
                <c:pt idx="0">
                  <c:v>EHCP, FSM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'FSM and SEN'!$I$14:$J$14</c:f>
              <c:strCache>
                <c:ptCount val="2"/>
                <c:pt idx="0">
                  <c:v>Primary </c:v>
                </c:pt>
                <c:pt idx="1">
                  <c:v>Secondary </c:v>
                </c:pt>
              </c:strCache>
            </c:strRef>
          </c:cat>
          <c:val>
            <c:numRef>
              <c:f>'FSM and SEN'!$I$16:$J$16</c:f>
              <c:numCache>
                <c:formatCode>0%</c:formatCode>
                <c:ptCount val="2"/>
                <c:pt idx="0">
                  <c:v>0.23</c:v>
                </c:pt>
                <c:pt idx="1">
                  <c:v>0.28000000000000003</c:v>
                </c:pt>
              </c:numCache>
            </c:numRef>
          </c:val>
          <c:extLst>
            <c:ext xmlns:c16="http://schemas.microsoft.com/office/drawing/2014/chart" uri="{C3380CC4-5D6E-409C-BE32-E72D297353CC}">
              <c16:uniqueId val="{00000001-345F-4257-B3F5-78A2B31C274A}"/>
            </c:ext>
          </c:extLst>
        </c:ser>
        <c:ser>
          <c:idx val="2"/>
          <c:order val="2"/>
          <c:tx>
            <c:strRef>
              <c:f>'FSM and SEN'!$H$17</c:f>
              <c:strCache>
                <c:ptCount val="1"/>
                <c:pt idx="0">
                  <c:v>Sen-S, FSM %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'FSM and SEN'!$I$14:$J$14</c:f>
              <c:strCache>
                <c:ptCount val="2"/>
                <c:pt idx="0">
                  <c:v>Primary </c:v>
                </c:pt>
                <c:pt idx="1">
                  <c:v>Secondary </c:v>
                </c:pt>
              </c:strCache>
            </c:strRef>
          </c:cat>
          <c:val>
            <c:numRef>
              <c:f>'FSM and SEN'!$I$17:$J$17</c:f>
              <c:numCache>
                <c:formatCode>0%</c:formatCode>
                <c:ptCount val="2"/>
                <c:pt idx="0">
                  <c:v>0.24</c:v>
                </c:pt>
                <c:pt idx="1">
                  <c:v>0.17</c:v>
                </c:pt>
              </c:numCache>
            </c:numRef>
          </c:val>
          <c:extLst>
            <c:ext xmlns:c16="http://schemas.microsoft.com/office/drawing/2014/chart" uri="{C3380CC4-5D6E-409C-BE32-E72D297353CC}">
              <c16:uniqueId val="{00000002-345F-4257-B3F5-78A2B31C274A}"/>
            </c:ext>
          </c:extLst>
        </c:ser>
        <c:dLbls>
          <c:showLegendKey val="0"/>
          <c:showVal val="0"/>
          <c:showCatName val="0"/>
          <c:showSerName val="0"/>
          <c:showPercent val="0"/>
          <c:showBubbleSize val="0"/>
        </c:dLbls>
        <c:gapWidth val="219"/>
        <c:overlap val="-27"/>
        <c:axId val="435384591"/>
        <c:axId val="435394575"/>
      </c:barChart>
      <c:catAx>
        <c:axId val="43538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94575"/>
        <c:crosses val="autoZero"/>
        <c:auto val="1"/>
        <c:lblAlgn val="ctr"/>
        <c:lblOffset val="100"/>
        <c:noMultiLvlLbl val="0"/>
      </c:catAx>
      <c:valAx>
        <c:axId val="435394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84591"/>
        <c:crosses val="autoZero"/>
        <c:crossBetween val="between"/>
      </c:valAx>
      <c:spPr>
        <a:noFill/>
        <a:ln>
          <a:noFill/>
        </a:ln>
        <a:effectLst/>
      </c:spPr>
    </c:plotArea>
    <c:legend>
      <c:legendPos val="b"/>
      <c:layout>
        <c:manualLayout>
          <c:xMode val="edge"/>
          <c:yMode val="edge"/>
          <c:x val="0.25784218373809409"/>
          <c:y val="0.88974234823469645"/>
          <c:w val="0.48431563252381177"/>
          <c:h val="8.505603886207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 of CYP</a:t>
            </a:r>
            <a:r>
              <a:rPr lang="en-GB" sz="1200" baseline="0"/>
              <a:t>, by neighbourhood deprivation grouping</a:t>
            </a:r>
            <a:endParaRPr lang="en-GB"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'deprivation and SEN'!$B$33</c:f>
              <c:strCache>
                <c:ptCount val="1"/>
                <c:pt idx="0">
                  <c:v>all pupils</c:v>
                </c:pt>
              </c:strCache>
            </c:strRef>
          </c:tx>
          <c:spPr>
            <a:solidFill>
              <a:schemeClr val="accent1"/>
            </a:solidFill>
            <a:ln>
              <a:noFill/>
            </a:ln>
            <a:effectLst/>
          </c:spPr>
          <c:invertIfNegative val="0"/>
          <c:cat>
            <c:strRef>
              <c:f>'deprivation and SEN'!$A$34:$A$36</c:f>
              <c:strCache>
                <c:ptCount val="3"/>
                <c:pt idx="0">
                  <c:v>Most deprived 30% of England</c:v>
                </c:pt>
                <c:pt idx="1">
                  <c:v>Middle 40% of England</c:v>
                </c:pt>
                <c:pt idx="2">
                  <c:v>Least deprived 30% of England</c:v>
                </c:pt>
              </c:strCache>
            </c:strRef>
          </c:cat>
          <c:val>
            <c:numRef>
              <c:f>'deprivation and SEN'!$B$34:$B$36</c:f>
              <c:numCache>
                <c:formatCode>General</c:formatCode>
                <c:ptCount val="3"/>
                <c:pt idx="0">
                  <c:v>5</c:v>
                </c:pt>
                <c:pt idx="1">
                  <c:v>6</c:v>
                </c:pt>
                <c:pt idx="2">
                  <c:v>20</c:v>
                </c:pt>
              </c:numCache>
            </c:numRef>
          </c:val>
          <c:extLst>
            <c:ext xmlns:c16="http://schemas.microsoft.com/office/drawing/2014/chart" uri="{C3380CC4-5D6E-409C-BE32-E72D297353CC}">
              <c16:uniqueId val="{00000000-6FD8-4FEE-84A7-7449D952943B}"/>
            </c:ext>
          </c:extLst>
        </c:ser>
        <c:ser>
          <c:idx val="1"/>
          <c:order val="1"/>
          <c:tx>
            <c:strRef>
              <c:f>'deprivation and SEN'!$C$33</c:f>
              <c:strCache>
                <c:ptCount val="1"/>
                <c:pt idx="0">
                  <c:v>all SEND pupils</c:v>
                </c:pt>
              </c:strCache>
            </c:strRef>
          </c:tx>
          <c:spPr>
            <a:solidFill>
              <a:schemeClr val="accent2"/>
            </a:solidFill>
            <a:ln>
              <a:noFill/>
            </a:ln>
            <a:effectLst/>
          </c:spPr>
          <c:invertIfNegative val="0"/>
          <c:cat>
            <c:strRef>
              <c:f>'deprivation and SEN'!$A$34:$A$36</c:f>
              <c:strCache>
                <c:ptCount val="3"/>
                <c:pt idx="0">
                  <c:v>Most deprived 30% of England</c:v>
                </c:pt>
                <c:pt idx="1">
                  <c:v>Middle 40% of England</c:v>
                </c:pt>
                <c:pt idx="2">
                  <c:v>Least deprived 30% of England</c:v>
                </c:pt>
              </c:strCache>
            </c:strRef>
          </c:cat>
          <c:val>
            <c:numRef>
              <c:f>'deprivation and SEN'!$C$34:$C$36</c:f>
              <c:numCache>
                <c:formatCode>General</c:formatCode>
                <c:ptCount val="3"/>
                <c:pt idx="0">
                  <c:v>9</c:v>
                </c:pt>
                <c:pt idx="1">
                  <c:v>6</c:v>
                </c:pt>
                <c:pt idx="2">
                  <c:v>16</c:v>
                </c:pt>
              </c:numCache>
            </c:numRef>
          </c:val>
          <c:extLst>
            <c:ext xmlns:c16="http://schemas.microsoft.com/office/drawing/2014/chart" uri="{C3380CC4-5D6E-409C-BE32-E72D297353CC}">
              <c16:uniqueId val="{00000001-6FD8-4FEE-84A7-7449D952943B}"/>
            </c:ext>
          </c:extLst>
        </c:ser>
        <c:ser>
          <c:idx val="2"/>
          <c:order val="2"/>
          <c:tx>
            <c:strRef>
              <c:f>'deprivation and SEN'!$D$33</c:f>
              <c:strCache>
                <c:ptCount val="1"/>
                <c:pt idx="0">
                  <c:v>all SEMH pupils </c:v>
                </c:pt>
              </c:strCache>
            </c:strRef>
          </c:tx>
          <c:spPr>
            <a:solidFill>
              <a:schemeClr val="accent4"/>
            </a:solidFill>
            <a:ln>
              <a:solidFill>
                <a:schemeClr val="accent4"/>
              </a:solidFill>
            </a:ln>
            <a:effectLst/>
          </c:spPr>
          <c:invertIfNegative val="0"/>
          <c:cat>
            <c:strRef>
              <c:f>'deprivation and SEN'!$A$34:$A$36</c:f>
              <c:strCache>
                <c:ptCount val="3"/>
                <c:pt idx="0">
                  <c:v>Most deprived 30% of England</c:v>
                </c:pt>
                <c:pt idx="1">
                  <c:v>Middle 40% of England</c:v>
                </c:pt>
                <c:pt idx="2">
                  <c:v>Least deprived 30% of England</c:v>
                </c:pt>
              </c:strCache>
            </c:strRef>
          </c:cat>
          <c:val>
            <c:numRef>
              <c:f>'deprivation and SEN'!$D$34:$D$36</c:f>
              <c:numCache>
                <c:formatCode>General</c:formatCode>
                <c:ptCount val="3"/>
                <c:pt idx="0">
                  <c:v>10</c:v>
                </c:pt>
                <c:pt idx="1">
                  <c:v>6</c:v>
                </c:pt>
                <c:pt idx="2">
                  <c:v>15</c:v>
                </c:pt>
              </c:numCache>
            </c:numRef>
          </c:val>
          <c:extLst>
            <c:ext xmlns:c16="http://schemas.microsoft.com/office/drawing/2014/chart" uri="{C3380CC4-5D6E-409C-BE32-E72D297353CC}">
              <c16:uniqueId val="{00000002-6FD8-4FEE-84A7-7449D952943B}"/>
            </c:ext>
          </c:extLst>
        </c:ser>
        <c:dLbls>
          <c:showLegendKey val="0"/>
          <c:showVal val="0"/>
          <c:showCatName val="0"/>
          <c:showSerName val="0"/>
          <c:showPercent val="0"/>
          <c:showBubbleSize val="0"/>
        </c:dLbls>
        <c:gapWidth val="219"/>
        <c:overlap val="-27"/>
        <c:axId val="1840099775"/>
        <c:axId val="1840078559"/>
      </c:barChart>
      <c:catAx>
        <c:axId val="184009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078559"/>
        <c:crosses val="autoZero"/>
        <c:auto val="1"/>
        <c:lblAlgn val="ctr"/>
        <c:lblOffset val="100"/>
        <c:noMultiLvlLbl val="0"/>
      </c:catAx>
      <c:valAx>
        <c:axId val="1840078559"/>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099775"/>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Childrens</a:t>
            </a:r>
            <a:r>
              <a:rPr lang="en-GB" sz="1100" baseline="0"/>
              <a:t> Social Care, Health and Disability SEND caseload (oct 20)</a:t>
            </a:r>
            <a:endParaRPr lang="en-GB"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Sheet2!$G$59</c:f>
              <c:strCache>
                <c:ptCount val="1"/>
                <c:pt idx="0">
                  <c:v>100 Hours/Early Help SEND</c:v>
                </c:pt>
              </c:strCache>
            </c:strRef>
          </c:tx>
          <c:spPr>
            <a:solidFill>
              <a:schemeClr val="accent1"/>
            </a:solidFill>
            <a:ln>
              <a:noFill/>
            </a:ln>
            <a:effectLst/>
          </c:spPr>
          <c:invertIfNegative val="0"/>
          <c:cat>
            <c:numRef>
              <c:f>Sheet2!$H$58:$Y$58</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Sheet2!$H$59:$Y$59</c:f>
              <c:numCache>
                <c:formatCode>General</c:formatCode>
                <c:ptCount val="18"/>
                <c:pt idx="0">
                  <c:v>0</c:v>
                </c:pt>
                <c:pt idx="1">
                  <c:v>0</c:v>
                </c:pt>
                <c:pt idx="2">
                  <c:v>0</c:v>
                </c:pt>
                <c:pt idx="3">
                  <c:v>1</c:v>
                </c:pt>
                <c:pt idx="4">
                  <c:v>1</c:v>
                </c:pt>
                <c:pt idx="5">
                  <c:v>4</c:v>
                </c:pt>
                <c:pt idx="6">
                  <c:v>7</c:v>
                </c:pt>
                <c:pt idx="7">
                  <c:v>15</c:v>
                </c:pt>
                <c:pt idx="8">
                  <c:v>12</c:v>
                </c:pt>
                <c:pt idx="9">
                  <c:v>10</c:v>
                </c:pt>
                <c:pt idx="10">
                  <c:v>11</c:v>
                </c:pt>
                <c:pt idx="11">
                  <c:v>13</c:v>
                </c:pt>
                <c:pt idx="12">
                  <c:v>8</c:v>
                </c:pt>
                <c:pt idx="13">
                  <c:v>16</c:v>
                </c:pt>
                <c:pt idx="14">
                  <c:v>12</c:v>
                </c:pt>
                <c:pt idx="15">
                  <c:v>11</c:v>
                </c:pt>
                <c:pt idx="16">
                  <c:v>14</c:v>
                </c:pt>
                <c:pt idx="17">
                  <c:v>14</c:v>
                </c:pt>
              </c:numCache>
            </c:numRef>
          </c:val>
          <c:extLst>
            <c:ext xmlns:c16="http://schemas.microsoft.com/office/drawing/2014/chart" uri="{C3380CC4-5D6E-409C-BE32-E72D297353CC}">
              <c16:uniqueId val="{00000000-7600-4F32-B3BA-6B7E45C21C84}"/>
            </c:ext>
          </c:extLst>
        </c:ser>
        <c:ser>
          <c:idx val="1"/>
          <c:order val="1"/>
          <c:tx>
            <c:strRef>
              <c:f>Sheet2!$G$60</c:f>
              <c:strCache>
                <c:ptCount val="1"/>
                <c:pt idx="0">
                  <c:v>Social Worker/Statutory SEND</c:v>
                </c:pt>
              </c:strCache>
            </c:strRef>
          </c:tx>
          <c:spPr>
            <a:solidFill>
              <a:schemeClr val="accent6"/>
            </a:solidFill>
            <a:ln>
              <a:noFill/>
            </a:ln>
            <a:effectLst/>
          </c:spPr>
          <c:invertIfNegative val="0"/>
          <c:cat>
            <c:numRef>
              <c:f>Sheet2!$H$58:$Y$58</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Sheet2!$H$60:$Y$60</c:f>
              <c:numCache>
                <c:formatCode>General</c:formatCode>
                <c:ptCount val="18"/>
                <c:pt idx="0">
                  <c:v>0</c:v>
                </c:pt>
                <c:pt idx="1">
                  <c:v>0</c:v>
                </c:pt>
                <c:pt idx="2">
                  <c:v>0</c:v>
                </c:pt>
                <c:pt idx="3">
                  <c:v>1</c:v>
                </c:pt>
                <c:pt idx="4">
                  <c:v>1</c:v>
                </c:pt>
                <c:pt idx="5">
                  <c:v>6</c:v>
                </c:pt>
                <c:pt idx="6">
                  <c:v>5</c:v>
                </c:pt>
                <c:pt idx="7">
                  <c:v>2</c:v>
                </c:pt>
                <c:pt idx="8">
                  <c:v>4</c:v>
                </c:pt>
                <c:pt idx="9">
                  <c:v>8</c:v>
                </c:pt>
                <c:pt idx="10">
                  <c:v>8</c:v>
                </c:pt>
                <c:pt idx="11">
                  <c:v>15</c:v>
                </c:pt>
                <c:pt idx="12">
                  <c:v>12</c:v>
                </c:pt>
                <c:pt idx="13">
                  <c:v>9</c:v>
                </c:pt>
                <c:pt idx="14">
                  <c:v>11</c:v>
                </c:pt>
                <c:pt idx="15">
                  <c:v>7</c:v>
                </c:pt>
                <c:pt idx="16">
                  <c:v>11</c:v>
                </c:pt>
                <c:pt idx="17">
                  <c:v>10</c:v>
                </c:pt>
              </c:numCache>
            </c:numRef>
          </c:val>
          <c:extLst>
            <c:ext xmlns:c16="http://schemas.microsoft.com/office/drawing/2014/chart" uri="{C3380CC4-5D6E-409C-BE32-E72D297353CC}">
              <c16:uniqueId val="{00000001-7600-4F32-B3BA-6B7E45C21C84}"/>
            </c:ext>
          </c:extLst>
        </c:ser>
        <c:dLbls>
          <c:showLegendKey val="0"/>
          <c:showVal val="0"/>
          <c:showCatName val="0"/>
          <c:showSerName val="0"/>
          <c:showPercent val="0"/>
          <c:showBubbleSize val="0"/>
        </c:dLbls>
        <c:gapWidth val="219"/>
        <c:overlap val="-27"/>
        <c:axId val="1298647439"/>
        <c:axId val="1298627471"/>
      </c:barChart>
      <c:catAx>
        <c:axId val="129864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627471"/>
        <c:crosses val="autoZero"/>
        <c:auto val="1"/>
        <c:lblAlgn val="ctr"/>
        <c:lblOffset val="100"/>
        <c:noMultiLvlLbl val="0"/>
      </c:catAx>
      <c:valAx>
        <c:axId val="129862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6474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Children's</a:t>
            </a:r>
            <a:r>
              <a:rPr lang="en-GB" sz="1100" baseline="0"/>
              <a:t> Social Care, Health and Disability SEND Cohort (oct 20)</a:t>
            </a:r>
            <a:endParaRPr lang="en-GB"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Sheet2!$H$22:$R$22</c:f>
              <c:strCache>
                <c:ptCount val="11"/>
                <c:pt idx="0">
                  <c:v>Behavioural, Emotional and Social Difficulties</c:v>
                </c:pt>
                <c:pt idx="1">
                  <c:v>Autism Spectrum Disorder</c:v>
                </c:pt>
                <c:pt idx="2">
                  <c:v>Speech Language and Communication Needs</c:v>
                </c:pt>
                <c:pt idx="3">
                  <c:v>Moderate Learning Difficulty</c:v>
                </c:pt>
                <c:pt idx="4">
                  <c:v>Profound and Multiple Learning Difficulties</c:v>
                </c:pt>
                <c:pt idx="5">
                  <c:v>Severe Learning Difficulty</c:v>
                </c:pt>
                <c:pt idx="6">
                  <c:v>Specific Learning Difficulty</c:v>
                </c:pt>
                <c:pt idx="7">
                  <c:v>Hearing Impairment</c:v>
                </c:pt>
                <c:pt idx="8">
                  <c:v>Multi-Sensory Impairment</c:v>
                </c:pt>
                <c:pt idx="9">
                  <c:v>Physical Disability</c:v>
                </c:pt>
                <c:pt idx="10">
                  <c:v>Visual Impairment</c:v>
                </c:pt>
              </c:strCache>
            </c:strRef>
          </c:cat>
          <c:val>
            <c:numRef>
              <c:f>Sheet2!$H$26:$R$26</c:f>
              <c:numCache>
                <c:formatCode>0%</c:formatCode>
                <c:ptCount val="11"/>
                <c:pt idx="0">
                  <c:v>8.3650190114068435E-2</c:v>
                </c:pt>
                <c:pt idx="1">
                  <c:v>0.36075949367088606</c:v>
                </c:pt>
                <c:pt idx="2">
                  <c:v>0.11881188118811881</c:v>
                </c:pt>
                <c:pt idx="3">
                  <c:v>0.1797752808988764</c:v>
                </c:pt>
                <c:pt idx="4">
                  <c:v>0.13698630136986301</c:v>
                </c:pt>
                <c:pt idx="5">
                  <c:v>0.1111111111111111</c:v>
                </c:pt>
                <c:pt idx="6">
                  <c:v>1.7857142857142856E-2</c:v>
                </c:pt>
                <c:pt idx="7">
                  <c:v>1.8181818181818181E-2</c:v>
                </c:pt>
                <c:pt idx="8">
                  <c:v>2.7777777777777776E-2</c:v>
                </c:pt>
                <c:pt idx="9">
                  <c:v>0.24761904761904763</c:v>
                </c:pt>
                <c:pt idx="10">
                  <c:v>5.0632911392405063E-2</c:v>
                </c:pt>
              </c:numCache>
            </c:numRef>
          </c:val>
          <c:extLst>
            <c:ext xmlns:c16="http://schemas.microsoft.com/office/drawing/2014/chart" uri="{C3380CC4-5D6E-409C-BE32-E72D297353CC}">
              <c16:uniqueId val="{00000000-80E8-4BA8-AB68-25F3FF6C74CF}"/>
            </c:ext>
          </c:extLst>
        </c:ser>
        <c:dLbls>
          <c:showLegendKey val="0"/>
          <c:showVal val="0"/>
          <c:showCatName val="0"/>
          <c:showSerName val="0"/>
          <c:showPercent val="0"/>
          <c:showBubbleSize val="0"/>
        </c:dLbls>
        <c:gapWidth val="219"/>
        <c:overlap val="-27"/>
        <c:axId val="1571291551"/>
        <c:axId val="1571291967"/>
      </c:barChart>
      <c:catAx>
        <c:axId val="157129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291967"/>
        <c:crosses val="autoZero"/>
        <c:auto val="1"/>
        <c:lblAlgn val="ctr"/>
        <c:lblOffset val="100"/>
        <c:noMultiLvlLbl val="0"/>
      </c:catAx>
      <c:valAx>
        <c:axId val="1571291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291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Post-16</a:t>
            </a:r>
            <a:r>
              <a:rPr lang="en-GB" baseline="0"/>
              <a:t> participation (employment, education, training)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c:f>
              <c:strCache>
                <c:ptCount val="1"/>
                <c:pt idx="0">
                  <c:v>York</c:v>
                </c:pt>
              </c:strCache>
            </c:strRef>
          </c:tx>
          <c:spPr>
            <a:solidFill>
              <a:schemeClr val="accent2"/>
            </a:solidFill>
            <a:ln>
              <a:solidFill>
                <a:schemeClr val="accent2"/>
              </a:solidFill>
            </a:ln>
            <a:effectLst/>
          </c:spPr>
          <c:invertIfNegative val="0"/>
          <c:cat>
            <c:strRef>
              <c:f>Sheet1!$B$3:$G$3</c:f>
              <c:strCache>
                <c:ptCount val="6"/>
                <c:pt idx="0">
                  <c:v>No SEND </c:v>
                </c:pt>
                <c:pt idx="1">
                  <c:v>EHCP</c:v>
                </c:pt>
                <c:pt idx="2">
                  <c:v>SEN-support</c:v>
                </c:pt>
                <c:pt idx="4">
                  <c:v>No SEND</c:v>
                </c:pt>
                <c:pt idx="5">
                  <c:v>SEND</c:v>
                </c:pt>
              </c:strCache>
            </c:strRef>
          </c:cat>
          <c:val>
            <c:numRef>
              <c:f>Sheet1!$B$4:$G$4</c:f>
              <c:numCache>
                <c:formatCode>0%</c:formatCode>
                <c:ptCount val="6"/>
                <c:pt idx="0">
                  <c:v>0.95</c:v>
                </c:pt>
                <c:pt idx="1">
                  <c:v>0.98</c:v>
                </c:pt>
                <c:pt idx="2">
                  <c:v>0.89</c:v>
                </c:pt>
                <c:pt idx="3" formatCode="General">
                  <c:v>0</c:v>
                </c:pt>
                <c:pt idx="4">
                  <c:v>0.89</c:v>
                </c:pt>
                <c:pt idx="5">
                  <c:v>0.73</c:v>
                </c:pt>
              </c:numCache>
            </c:numRef>
          </c:val>
          <c:extLst>
            <c:ext xmlns:c16="http://schemas.microsoft.com/office/drawing/2014/chart" uri="{C3380CC4-5D6E-409C-BE32-E72D297353CC}">
              <c16:uniqueId val="{00000000-E4DA-4303-911F-1D67907DF962}"/>
            </c:ext>
          </c:extLst>
        </c:ser>
        <c:ser>
          <c:idx val="1"/>
          <c:order val="1"/>
          <c:tx>
            <c:strRef>
              <c:f>Sheet1!$A$5</c:f>
              <c:strCache>
                <c:ptCount val="1"/>
                <c:pt idx="0">
                  <c:v>CIPFA neighbours</c:v>
                </c:pt>
              </c:strCache>
            </c:strRef>
          </c:tx>
          <c:spPr>
            <a:solidFill>
              <a:schemeClr val="accent1"/>
            </a:solidFill>
            <a:ln>
              <a:solidFill>
                <a:schemeClr val="accent1"/>
              </a:solidFill>
            </a:ln>
            <a:effectLst/>
          </c:spPr>
          <c:invertIfNegative val="0"/>
          <c:cat>
            <c:strRef>
              <c:f>Sheet1!$B$3:$G$3</c:f>
              <c:strCache>
                <c:ptCount val="6"/>
                <c:pt idx="0">
                  <c:v>No SEND </c:v>
                </c:pt>
                <c:pt idx="1">
                  <c:v>EHCP</c:v>
                </c:pt>
                <c:pt idx="2">
                  <c:v>SEN-support</c:v>
                </c:pt>
                <c:pt idx="4">
                  <c:v>No SEND</c:v>
                </c:pt>
                <c:pt idx="5">
                  <c:v>SEND</c:v>
                </c:pt>
              </c:strCache>
            </c:strRef>
          </c:cat>
          <c:val>
            <c:numRef>
              <c:f>Sheet1!$B$5:$G$5</c:f>
              <c:numCache>
                <c:formatCode>0%</c:formatCode>
                <c:ptCount val="6"/>
                <c:pt idx="0">
                  <c:v>0.95</c:v>
                </c:pt>
                <c:pt idx="1">
                  <c:v>0.89</c:v>
                </c:pt>
                <c:pt idx="2">
                  <c:v>0.9</c:v>
                </c:pt>
                <c:pt idx="3" formatCode="General">
                  <c:v>0</c:v>
                </c:pt>
                <c:pt idx="4">
                  <c:v>0.89</c:v>
                </c:pt>
                <c:pt idx="5">
                  <c:v>0.8</c:v>
                </c:pt>
              </c:numCache>
            </c:numRef>
          </c:val>
          <c:extLst>
            <c:ext xmlns:c16="http://schemas.microsoft.com/office/drawing/2014/chart" uri="{C3380CC4-5D6E-409C-BE32-E72D297353CC}">
              <c16:uniqueId val="{00000001-E4DA-4303-911F-1D67907DF962}"/>
            </c:ext>
          </c:extLst>
        </c:ser>
        <c:ser>
          <c:idx val="2"/>
          <c:order val="2"/>
          <c:tx>
            <c:strRef>
              <c:f>Sheet1!$A$6</c:f>
              <c:strCache>
                <c:ptCount val="1"/>
                <c:pt idx="0">
                  <c:v>England </c:v>
                </c:pt>
              </c:strCache>
            </c:strRef>
          </c:tx>
          <c:spPr>
            <a:solidFill>
              <a:schemeClr val="tx1"/>
            </a:solidFill>
            <a:ln>
              <a:solidFill>
                <a:sysClr val="windowText" lastClr="000000"/>
              </a:solidFill>
            </a:ln>
            <a:effectLst/>
          </c:spPr>
          <c:invertIfNegative val="0"/>
          <c:cat>
            <c:strRef>
              <c:f>Sheet1!$B$3:$G$3</c:f>
              <c:strCache>
                <c:ptCount val="6"/>
                <c:pt idx="0">
                  <c:v>No SEND </c:v>
                </c:pt>
                <c:pt idx="1">
                  <c:v>EHCP</c:v>
                </c:pt>
                <c:pt idx="2">
                  <c:v>SEN-support</c:v>
                </c:pt>
                <c:pt idx="4">
                  <c:v>No SEND</c:v>
                </c:pt>
                <c:pt idx="5">
                  <c:v>SEND</c:v>
                </c:pt>
              </c:strCache>
            </c:strRef>
          </c:cat>
          <c:val>
            <c:numRef>
              <c:f>Sheet1!$B$6:$G$6</c:f>
              <c:numCache>
                <c:formatCode>0%</c:formatCode>
                <c:ptCount val="6"/>
                <c:pt idx="0">
                  <c:v>0.94</c:v>
                </c:pt>
                <c:pt idx="1">
                  <c:v>0.9</c:v>
                </c:pt>
                <c:pt idx="2">
                  <c:v>0.9</c:v>
                </c:pt>
                <c:pt idx="3" formatCode="General">
                  <c:v>0</c:v>
                </c:pt>
                <c:pt idx="4">
                  <c:v>0.88</c:v>
                </c:pt>
                <c:pt idx="5">
                  <c:v>0.85</c:v>
                </c:pt>
              </c:numCache>
            </c:numRef>
          </c:val>
          <c:extLst>
            <c:ext xmlns:c16="http://schemas.microsoft.com/office/drawing/2014/chart" uri="{C3380CC4-5D6E-409C-BE32-E72D297353CC}">
              <c16:uniqueId val="{00000002-E4DA-4303-911F-1D67907DF962}"/>
            </c:ext>
          </c:extLst>
        </c:ser>
        <c:dLbls>
          <c:showLegendKey val="0"/>
          <c:showVal val="0"/>
          <c:showCatName val="0"/>
          <c:showSerName val="0"/>
          <c:showPercent val="0"/>
          <c:showBubbleSize val="0"/>
        </c:dLbls>
        <c:gapWidth val="219"/>
        <c:overlap val="-27"/>
        <c:axId val="1192904464"/>
        <c:axId val="1192903632"/>
      </c:barChart>
      <c:catAx>
        <c:axId val="119290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EET participation at 16-17 years</a:t>
                </a:r>
                <a:r>
                  <a:rPr lang="en-US" baseline="0"/>
                  <a:t> old </a:t>
                </a:r>
                <a:r>
                  <a:rPr lang="en-US"/>
                  <a:t>(LEFT) and at 18-19 years old (RIGHT)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903632"/>
        <c:crosses val="autoZero"/>
        <c:auto val="1"/>
        <c:lblAlgn val="ctr"/>
        <c:lblOffset val="100"/>
        <c:noMultiLvlLbl val="0"/>
      </c:catAx>
      <c:valAx>
        <c:axId val="1192903632"/>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904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SEN-support</a:t>
            </a:r>
            <a:r>
              <a:rPr lang="en-GB" baseline="0"/>
              <a:t> primary need, by age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89483399662577E-2"/>
          <c:y val="0.16615618699836432"/>
          <c:w val="0.85923081352034625"/>
          <c:h val="0.55808855414812275"/>
        </c:manualLayout>
      </c:layout>
      <c:lineChart>
        <c:grouping val="standard"/>
        <c:varyColors val="0"/>
        <c:ser>
          <c:idx val="0"/>
          <c:order val="0"/>
          <c:tx>
            <c:strRef>
              <c:f>'school census age and SEND '!$A$31</c:f>
              <c:strCache>
                <c:ptCount val="1"/>
                <c:pt idx="0">
                  <c:v>Cognition / Learning</c:v>
                </c:pt>
              </c:strCache>
            </c:strRef>
          </c:tx>
          <c:spPr>
            <a:ln w="28575" cap="rnd">
              <a:solidFill>
                <a:schemeClr val="accent1"/>
              </a:solidFill>
              <a:round/>
            </a:ln>
            <a:effectLst/>
          </c:spPr>
          <c:marker>
            <c:symbol val="none"/>
          </c:marker>
          <c:cat>
            <c:numRef>
              <c:f>'school census age and SEND '!$E$30:$P$30</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'school census age and SEND '!$E$31:$P$31</c:f>
              <c:numCache>
                <c:formatCode>General</c:formatCode>
                <c:ptCount val="12"/>
                <c:pt idx="0">
                  <c:v>14</c:v>
                </c:pt>
                <c:pt idx="1">
                  <c:v>48</c:v>
                </c:pt>
                <c:pt idx="2">
                  <c:v>80</c:v>
                </c:pt>
                <c:pt idx="3">
                  <c:v>91</c:v>
                </c:pt>
                <c:pt idx="4">
                  <c:v>107</c:v>
                </c:pt>
                <c:pt idx="5">
                  <c:v>139</c:v>
                </c:pt>
                <c:pt idx="6">
                  <c:v>142</c:v>
                </c:pt>
                <c:pt idx="7">
                  <c:v>140</c:v>
                </c:pt>
                <c:pt idx="8">
                  <c:v>123</c:v>
                </c:pt>
                <c:pt idx="9">
                  <c:v>128</c:v>
                </c:pt>
                <c:pt idx="10">
                  <c:v>119</c:v>
                </c:pt>
                <c:pt idx="11">
                  <c:v>44</c:v>
                </c:pt>
              </c:numCache>
            </c:numRef>
          </c:val>
          <c:smooth val="0"/>
          <c:extLst>
            <c:ext xmlns:c16="http://schemas.microsoft.com/office/drawing/2014/chart" uri="{C3380CC4-5D6E-409C-BE32-E72D297353CC}">
              <c16:uniqueId val="{00000000-0919-4B8B-B345-AA24529BEA1E}"/>
            </c:ext>
          </c:extLst>
        </c:ser>
        <c:ser>
          <c:idx val="1"/>
          <c:order val="1"/>
          <c:tx>
            <c:strRef>
              <c:f>'school census age and SEND '!$A$32</c:f>
              <c:strCache>
                <c:ptCount val="1"/>
                <c:pt idx="0">
                  <c:v>Communication / Interaction</c:v>
                </c:pt>
              </c:strCache>
            </c:strRef>
          </c:tx>
          <c:spPr>
            <a:ln w="28575" cap="rnd">
              <a:solidFill>
                <a:schemeClr val="accent2"/>
              </a:solidFill>
              <a:round/>
            </a:ln>
            <a:effectLst/>
          </c:spPr>
          <c:marker>
            <c:symbol val="none"/>
          </c:marker>
          <c:cat>
            <c:numRef>
              <c:f>'school census age and SEND '!$E$30:$P$30</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'school census age and SEND '!$E$32:$P$32</c:f>
              <c:numCache>
                <c:formatCode>General</c:formatCode>
                <c:ptCount val="12"/>
                <c:pt idx="0">
                  <c:v>72</c:v>
                </c:pt>
                <c:pt idx="1">
                  <c:v>93</c:v>
                </c:pt>
                <c:pt idx="2">
                  <c:v>78</c:v>
                </c:pt>
                <c:pt idx="3">
                  <c:v>65</c:v>
                </c:pt>
                <c:pt idx="4">
                  <c:v>67</c:v>
                </c:pt>
                <c:pt idx="5">
                  <c:v>62</c:v>
                </c:pt>
                <c:pt idx="6">
                  <c:v>50</c:v>
                </c:pt>
                <c:pt idx="7">
                  <c:v>34</c:v>
                </c:pt>
                <c:pt idx="8">
                  <c:v>38</c:v>
                </c:pt>
                <c:pt idx="9">
                  <c:v>33</c:v>
                </c:pt>
                <c:pt idx="10">
                  <c:v>50</c:v>
                </c:pt>
                <c:pt idx="11">
                  <c:v>22</c:v>
                </c:pt>
              </c:numCache>
            </c:numRef>
          </c:val>
          <c:smooth val="0"/>
          <c:extLst>
            <c:ext xmlns:c16="http://schemas.microsoft.com/office/drawing/2014/chart" uri="{C3380CC4-5D6E-409C-BE32-E72D297353CC}">
              <c16:uniqueId val="{00000001-0919-4B8B-B345-AA24529BEA1E}"/>
            </c:ext>
          </c:extLst>
        </c:ser>
        <c:ser>
          <c:idx val="2"/>
          <c:order val="2"/>
          <c:tx>
            <c:strRef>
              <c:f>'school census age and SEND '!$A$33</c:f>
              <c:strCache>
                <c:ptCount val="1"/>
                <c:pt idx="0">
                  <c:v>Sensory / Physical</c:v>
                </c:pt>
              </c:strCache>
            </c:strRef>
          </c:tx>
          <c:spPr>
            <a:ln w="28575" cap="rnd">
              <a:solidFill>
                <a:schemeClr val="accent3"/>
              </a:solidFill>
              <a:round/>
            </a:ln>
            <a:effectLst/>
          </c:spPr>
          <c:marker>
            <c:symbol val="none"/>
          </c:marker>
          <c:cat>
            <c:numRef>
              <c:f>'school census age and SEND '!$E$30:$P$30</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'school census age and SEND '!$E$33:$P$33</c:f>
              <c:numCache>
                <c:formatCode>General</c:formatCode>
                <c:ptCount val="12"/>
                <c:pt idx="0">
                  <c:v>15</c:v>
                </c:pt>
                <c:pt idx="1">
                  <c:v>13</c:v>
                </c:pt>
                <c:pt idx="2">
                  <c:v>19</c:v>
                </c:pt>
                <c:pt idx="3">
                  <c:v>20</c:v>
                </c:pt>
                <c:pt idx="4">
                  <c:v>25</c:v>
                </c:pt>
                <c:pt idx="5">
                  <c:v>18</c:v>
                </c:pt>
                <c:pt idx="6">
                  <c:v>20</c:v>
                </c:pt>
                <c:pt idx="7">
                  <c:v>21</c:v>
                </c:pt>
                <c:pt idx="8">
                  <c:v>17</c:v>
                </c:pt>
                <c:pt idx="9">
                  <c:v>22</c:v>
                </c:pt>
                <c:pt idx="10">
                  <c:v>17</c:v>
                </c:pt>
                <c:pt idx="11">
                  <c:v>11</c:v>
                </c:pt>
              </c:numCache>
            </c:numRef>
          </c:val>
          <c:smooth val="0"/>
          <c:extLst>
            <c:ext xmlns:c16="http://schemas.microsoft.com/office/drawing/2014/chart" uri="{C3380CC4-5D6E-409C-BE32-E72D297353CC}">
              <c16:uniqueId val="{00000002-0919-4B8B-B345-AA24529BEA1E}"/>
            </c:ext>
          </c:extLst>
        </c:ser>
        <c:ser>
          <c:idx val="3"/>
          <c:order val="3"/>
          <c:tx>
            <c:strRef>
              <c:f>'school census age and SEND '!$A$34</c:f>
              <c:strCache>
                <c:ptCount val="1"/>
                <c:pt idx="0">
                  <c:v>Social / Emotional / Mental Health</c:v>
                </c:pt>
              </c:strCache>
            </c:strRef>
          </c:tx>
          <c:spPr>
            <a:ln w="28575" cap="rnd">
              <a:solidFill>
                <a:schemeClr val="accent4"/>
              </a:solidFill>
              <a:round/>
            </a:ln>
            <a:effectLst/>
          </c:spPr>
          <c:marker>
            <c:symbol val="none"/>
          </c:marker>
          <c:cat>
            <c:numRef>
              <c:f>'school census age and SEND '!$E$30:$P$30</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'school census age and SEND '!$E$34:$P$34</c:f>
              <c:numCache>
                <c:formatCode>General</c:formatCode>
                <c:ptCount val="12"/>
                <c:pt idx="0">
                  <c:v>26</c:v>
                </c:pt>
                <c:pt idx="1">
                  <c:v>31</c:v>
                </c:pt>
                <c:pt idx="2">
                  <c:v>47</c:v>
                </c:pt>
                <c:pt idx="3">
                  <c:v>60</c:v>
                </c:pt>
                <c:pt idx="4">
                  <c:v>75</c:v>
                </c:pt>
                <c:pt idx="5">
                  <c:v>71</c:v>
                </c:pt>
                <c:pt idx="6">
                  <c:v>99</c:v>
                </c:pt>
                <c:pt idx="7">
                  <c:v>76</c:v>
                </c:pt>
                <c:pt idx="8">
                  <c:v>77</c:v>
                </c:pt>
                <c:pt idx="9">
                  <c:v>61</c:v>
                </c:pt>
                <c:pt idx="10">
                  <c:v>94</c:v>
                </c:pt>
                <c:pt idx="11">
                  <c:v>45</c:v>
                </c:pt>
              </c:numCache>
            </c:numRef>
          </c:val>
          <c:smooth val="0"/>
          <c:extLst>
            <c:ext xmlns:c16="http://schemas.microsoft.com/office/drawing/2014/chart" uri="{C3380CC4-5D6E-409C-BE32-E72D297353CC}">
              <c16:uniqueId val="{00000003-0919-4B8B-B345-AA24529BEA1E}"/>
            </c:ext>
          </c:extLst>
        </c:ser>
        <c:ser>
          <c:idx val="4"/>
          <c:order val="4"/>
          <c:tx>
            <c:strRef>
              <c:f>'school census age and SEND '!$A$35</c:f>
              <c:strCache>
                <c:ptCount val="1"/>
                <c:pt idx="0">
                  <c:v>Other</c:v>
                </c:pt>
              </c:strCache>
            </c:strRef>
          </c:tx>
          <c:spPr>
            <a:ln w="28575" cap="rnd">
              <a:solidFill>
                <a:schemeClr val="accent5"/>
              </a:solidFill>
              <a:round/>
            </a:ln>
            <a:effectLst/>
          </c:spPr>
          <c:marker>
            <c:symbol val="none"/>
          </c:marker>
          <c:cat>
            <c:numRef>
              <c:f>'school census age and SEND '!$E$30:$P$30</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'school census age and SEND '!$E$35:$P$35</c:f>
              <c:numCache>
                <c:formatCode>General</c:formatCode>
                <c:ptCount val="12"/>
                <c:pt idx="0">
                  <c:v>1</c:v>
                </c:pt>
                <c:pt idx="1">
                  <c:v>3</c:v>
                </c:pt>
                <c:pt idx="2">
                  <c:v>5</c:v>
                </c:pt>
                <c:pt idx="3">
                  <c:v>5</c:v>
                </c:pt>
                <c:pt idx="4">
                  <c:v>12</c:v>
                </c:pt>
                <c:pt idx="5">
                  <c:v>11</c:v>
                </c:pt>
                <c:pt idx="6">
                  <c:v>9</c:v>
                </c:pt>
                <c:pt idx="7">
                  <c:v>10</c:v>
                </c:pt>
                <c:pt idx="8">
                  <c:v>17</c:v>
                </c:pt>
                <c:pt idx="9">
                  <c:v>10</c:v>
                </c:pt>
                <c:pt idx="10">
                  <c:v>14</c:v>
                </c:pt>
                <c:pt idx="11">
                  <c:v>-1</c:v>
                </c:pt>
              </c:numCache>
            </c:numRef>
          </c:val>
          <c:smooth val="0"/>
          <c:extLst>
            <c:ext xmlns:c16="http://schemas.microsoft.com/office/drawing/2014/chart" uri="{C3380CC4-5D6E-409C-BE32-E72D297353CC}">
              <c16:uniqueId val="{00000004-0919-4B8B-B345-AA24529BEA1E}"/>
            </c:ext>
          </c:extLst>
        </c:ser>
        <c:dLbls>
          <c:showLegendKey val="0"/>
          <c:showVal val="0"/>
          <c:showCatName val="0"/>
          <c:showSerName val="0"/>
          <c:showPercent val="0"/>
          <c:showBubbleSize val="0"/>
        </c:dLbls>
        <c:smooth val="0"/>
        <c:axId val="692564527"/>
        <c:axId val="692562031"/>
      </c:lineChart>
      <c:catAx>
        <c:axId val="692564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layout>
            <c:manualLayout>
              <c:xMode val="edge"/>
              <c:yMode val="edge"/>
              <c:x val="0.46350438191680726"/>
              <c:y val="0.807850431739510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562031"/>
        <c:crosses val="autoZero"/>
        <c:auto val="1"/>
        <c:lblAlgn val="ctr"/>
        <c:lblOffset val="100"/>
        <c:noMultiLvlLbl val="0"/>
      </c:catAx>
      <c:valAx>
        <c:axId val="69256203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S-S plans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564527"/>
        <c:crosses val="autoZero"/>
        <c:crossBetween val="between"/>
        <c:majorUnit val="20"/>
      </c:valAx>
      <c:spPr>
        <a:noFill/>
        <a:ln>
          <a:noFill/>
        </a:ln>
        <a:effectLst/>
      </c:spPr>
    </c:plotArea>
    <c:legend>
      <c:legendPos val="b"/>
      <c:layout>
        <c:manualLayout>
          <c:xMode val="edge"/>
          <c:yMode val="edge"/>
          <c:x val="0.11220707980968365"/>
          <c:y val="0.83703069724980028"/>
          <c:w val="0.80217569192062843"/>
          <c:h val="0.13272737646924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Early</a:t>
            </a:r>
            <a:r>
              <a:rPr lang="en-GB" baseline="0"/>
              <a:t> Years Specialist Support cohort by need type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Sheet4!$M$30:$M$33</c:f>
              <c:strCache>
                <c:ptCount val="4"/>
                <c:pt idx="0">
                  <c:v>Communication and Interaction </c:v>
                </c:pt>
                <c:pt idx="1">
                  <c:v>cognititon and learning </c:v>
                </c:pt>
                <c:pt idx="2">
                  <c:v>Physical health </c:v>
                </c:pt>
                <c:pt idx="3">
                  <c:v>Other</c:v>
                </c:pt>
              </c:strCache>
            </c:strRef>
          </c:cat>
          <c:val>
            <c:numRef>
              <c:f>Sheet4!$N$30:$N$33</c:f>
              <c:numCache>
                <c:formatCode>General</c:formatCode>
                <c:ptCount val="4"/>
                <c:pt idx="0">
                  <c:v>69</c:v>
                </c:pt>
                <c:pt idx="1">
                  <c:v>34</c:v>
                </c:pt>
                <c:pt idx="2">
                  <c:v>21</c:v>
                </c:pt>
                <c:pt idx="3">
                  <c:v>9</c:v>
                </c:pt>
              </c:numCache>
            </c:numRef>
          </c:val>
          <c:extLst>
            <c:ext xmlns:c16="http://schemas.microsoft.com/office/drawing/2014/chart" uri="{C3380CC4-5D6E-409C-BE32-E72D297353CC}">
              <c16:uniqueId val="{00000000-B1B2-49C2-B4F7-7DD6D2B14FEB}"/>
            </c:ext>
          </c:extLst>
        </c:ser>
        <c:dLbls>
          <c:showLegendKey val="0"/>
          <c:showVal val="0"/>
          <c:showCatName val="0"/>
          <c:showSerName val="0"/>
          <c:showPercent val="0"/>
          <c:showBubbleSize val="0"/>
        </c:dLbls>
        <c:gapWidth val="219"/>
        <c:overlap val="-27"/>
        <c:axId val="1233608687"/>
        <c:axId val="1297999071"/>
      </c:barChart>
      <c:catAx>
        <c:axId val="123360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999071"/>
        <c:crosses val="autoZero"/>
        <c:auto val="1"/>
        <c:lblAlgn val="ctr"/>
        <c:lblOffset val="100"/>
        <c:noMultiLvlLbl val="0"/>
      </c:catAx>
      <c:valAx>
        <c:axId val="1297999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608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 o</a:t>
            </a:r>
            <a:r>
              <a:rPr lang="en-GB" baseline="0"/>
              <a:t>f pupils with an EHCP</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'Table 12'!$AD$7:$AD$8</c:f>
              <c:strCache>
                <c:ptCount val="2"/>
                <c:pt idx="0">
                  <c:v>2013</c:v>
                </c:pt>
                <c:pt idx="1">
                  <c:v>Total pupils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'Table 12'!$E$202:$E$211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'Table 12'!$AD$9:$AD$22</c:f>
            </c:numRef>
          </c:val>
          <c:smooth val="0"/>
          <c:extLst>
            <c:ext xmlns:c16="http://schemas.microsoft.com/office/drawing/2014/chart" uri="{C3380CC4-5D6E-409C-BE32-E72D297353CC}">
              <c16:uniqueId val="{00000000-4F9F-4B28-9686-F84DD1E142F9}"/>
            </c:ext>
          </c:extLst>
        </c:ser>
        <c:ser>
          <c:idx val="1"/>
          <c:order val="1"/>
          <c:tx>
            <c:strRef>
              <c:f>'Table 12'!$AE$7:$AE$8</c:f>
              <c:strCache>
                <c:ptCount val="2"/>
                <c:pt idx="0">
                  <c:v>2013</c:v>
                </c:pt>
                <c:pt idx="1">
                  <c:v>Pupils with statements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'Table 12'!$E$202:$E$211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'Table 12'!$AE$9:$AE$22</c:f>
            </c:numRef>
          </c:val>
          <c:smooth val="0"/>
          <c:extLst>
            <c:ext xmlns:c16="http://schemas.microsoft.com/office/drawing/2014/chart" uri="{C3380CC4-5D6E-409C-BE32-E72D297353CC}">
              <c16:uniqueId val="{00000001-4F9F-4B28-9686-F84DD1E142F9}"/>
            </c:ext>
          </c:extLst>
        </c:ser>
        <c:ser>
          <c:idx val="2"/>
          <c:order val="2"/>
          <c:tx>
            <c:v>York</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'Table 12'!$E$202:$E$211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'Table 12'!$T$65:$BD$65</c:f>
              <c:numCache>
                <c:formatCode>0.0</c:formatCode>
                <c:ptCount val="10"/>
                <c:pt idx="0">
                  <c:v>1.8065969928901666</c:v>
                </c:pt>
                <c:pt idx="1">
                  <c:v>1.828562610909652</c:v>
                </c:pt>
                <c:pt idx="2">
                  <c:v>1.8618756958040616</c:v>
                </c:pt>
                <c:pt idx="3">
                  <c:v>1.9979488737797697</c:v>
                </c:pt>
                <c:pt idx="4" formatCode="#,##0.0">
                  <c:v>1.9256132946452122</c:v>
                </c:pt>
                <c:pt idx="5" formatCode="#,##0.0">
                  <c:v>1.9791397928721484</c:v>
                </c:pt>
                <c:pt idx="6" formatCode="#,##0.0">
                  <c:v>2.058587772352984</c:v>
                </c:pt>
                <c:pt idx="7">
                  <c:v>2.1383059145397603</c:v>
                </c:pt>
                <c:pt idx="8">
                  <c:v>2.1891010712622263</c:v>
                </c:pt>
                <c:pt idx="9">
                  <c:v>2.3737607050211436</c:v>
                </c:pt>
              </c:numCache>
            </c:numRef>
          </c:val>
          <c:smooth val="0"/>
          <c:extLst>
            <c:ext xmlns:c16="http://schemas.microsoft.com/office/drawing/2014/chart" uri="{C3380CC4-5D6E-409C-BE32-E72D297353CC}">
              <c16:uniqueId val="{00000002-4F9F-4B28-9686-F84DD1E142F9}"/>
            </c:ext>
          </c:extLst>
        </c:ser>
        <c:ser>
          <c:idx val="3"/>
          <c:order val="3"/>
          <c:tx>
            <c:v>England</c:v>
          </c:tx>
          <c:spPr>
            <a:ln w="28575" cap="rnd">
              <a:solidFill>
                <a:schemeClr val="tx1"/>
              </a:solidFill>
              <a:round/>
            </a:ln>
            <a:effectLst/>
          </c:spPr>
          <c:marker>
            <c:symbol val="circle"/>
            <c:size val="5"/>
            <c:spPr>
              <a:solidFill>
                <a:schemeClr val="tx1"/>
              </a:solidFill>
              <a:ln w="9525">
                <a:solidFill>
                  <a:schemeClr val="tx1"/>
                </a:solidFill>
              </a:ln>
              <a:effectLst/>
            </c:spPr>
          </c:marker>
          <c:cat>
            <c:numRef>
              <c:f>'Table 12'!$E$202:$E$211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'Table 12'!$T$9:$BD$9</c:f>
              <c:numCache>
                <c:formatCode>#,##0.0</c:formatCode>
                <c:ptCount val="10"/>
                <c:pt idx="0">
                  <c:v>2.7653126354826614</c:v>
                </c:pt>
                <c:pt idx="1">
                  <c:v>2.7598932281617188</c:v>
                </c:pt>
                <c:pt idx="2" formatCode="0.0">
                  <c:v>2.7649489533024267</c:v>
                </c:pt>
                <c:pt idx="3">
                  <c:v>2.7805246423857035</c:v>
                </c:pt>
                <c:pt idx="4">
                  <c:v>2.7869559247299129</c:v>
                </c:pt>
                <c:pt idx="5">
                  <c:v>2.7987793048778622</c:v>
                </c:pt>
                <c:pt idx="6">
                  <c:v>2.7665739046724473</c:v>
                </c:pt>
                <c:pt idx="7" formatCode="0.0">
                  <c:v>2.7936528443618007</c:v>
                </c:pt>
                <c:pt idx="8" formatCode="0.0">
                  <c:v>2.904134561512647</c:v>
                </c:pt>
                <c:pt idx="9" formatCode="0.0">
                  <c:v>3.0746809635107772</c:v>
                </c:pt>
              </c:numCache>
            </c:numRef>
          </c:val>
          <c:smooth val="0"/>
          <c:extLst>
            <c:ext xmlns:c16="http://schemas.microsoft.com/office/drawing/2014/chart" uri="{C3380CC4-5D6E-409C-BE32-E72D297353CC}">
              <c16:uniqueId val="{00000003-4F9F-4B28-9686-F84DD1E142F9}"/>
            </c:ext>
          </c:extLst>
        </c:ser>
        <c:ser>
          <c:idx val="6"/>
          <c:order val="4"/>
          <c:tx>
            <c:v>CIPFA mean</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'Table 12'!$T$193:$BD$193</c:f>
              <c:numCache>
                <c:formatCode>0.0</c:formatCode>
                <c:ptCount val="10"/>
                <c:pt idx="0">
                  <c:v>2.9399140417411402</c:v>
                </c:pt>
                <c:pt idx="1">
                  <c:v>2.9073376758816951</c:v>
                </c:pt>
                <c:pt idx="2">
                  <c:v>2.916735008671135</c:v>
                </c:pt>
                <c:pt idx="3">
                  <c:v>3.0272585418829911</c:v>
                </c:pt>
                <c:pt idx="4">
                  <c:v>3.0888180121130802</c:v>
                </c:pt>
                <c:pt idx="5">
                  <c:v>3.1589899556491443</c:v>
                </c:pt>
                <c:pt idx="6">
                  <c:v>3.1075894557767261</c:v>
                </c:pt>
                <c:pt idx="7">
                  <c:v>3.1205380583078055</c:v>
                </c:pt>
                <c:pt idx="8">
                  <c:v>3.1964164778537665</c:v>
                </c:pt>
                <c:pt idx="9">
                  <c:v>3.3324111026492775</c:v>
                </c:pt>
              </c:numCache>
            </c:numRef>
          </c:val>
          <c:smooth val="0"/>
          <c:extLst>
            <c:ext xmlns:c16="http://schemas.microsoft.com/office/drawing/2014/chart" uri="{C3380CC4-5D6E-409C-BE32-E72D297353CC}">
              <c16:uniqueId val="{00000004-4F9F-4B28-9686-F84DD1E142F9}"/>
            </c:ext>
          </c:extLst>
        </c:ser>
        <c:dLbls>
          <c:showLegendKey val="0"/>
          <c:showVal val="0"/>
          <c:showCatName val="0"/>
          <c:showSerName val="0"/>
          <c:showPercent val="0"/>
          <c:showBubbleSize val="0"/>
        </c:dLbls>
        <c:marker val="1"/>
        <c:smooth val="0"/>
        <c:axId val="595368224"/>
        <c:axId val="595370520"/>
      </c:lineChart>
      <c:catAx>
        <c:axId val="59536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95370520"/>
        <c:crosses val="autoZero"/>
        <c:auto val="1"/>
        <c:lblAlgn val="ctr"/>
        <c:lblOffset val="100"/>
        <c:noMultiLvlLbl val="0"/>
      </c:catAx>
      <c:valAx>
        <c:axId val="595370520"/>
        <c:scaling>
          <c:orientation val="minMax"/>
          <c:max val="3.5"/>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%school</a:t>
                </a:r>
                <a:r>
                  <a:rPr lang="en-GB" baseline="0"/>
                  <a:t> age pupils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95368224"/>
        <c:crosses val="autoZero"/>
        <c:crossBetween val="between"/>
        <c:majorUnit val="0.2"/>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 of pupils with SEN-Support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1"/>
          <c:order val="0"/>
          <c:tx>
            <c:v>York</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'Table 13'!$C$204:$C$213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'Table 13'!$L$67:$AV$67</c:f>
              <c:numCache>
                <c:formatCode>0.0</c:formatCode>
                <c:ptCount val="10"/>
                <c:pt idx="0">
                  <c:v>13.835036326197599</c:v>
                </c:pt>
                <c:pt idx="1">
                  <c:v>14.335313633207313</c:v>
                </c:pt>
                <c:pt idx="2">
                  <c:v>13.478444470037237</c:v>
                </c:pt>
                <c:pt idx="3">
                  <c:v>12.618224636304934</c:v>
                </c:pt>
                <c:pt idx="4">
                  <c:v>11.817462410973357</c:v>
                </c:pt>
                <c:pt idx="5">
                  <c:v>9.6303394390594477</c:v>
                </c:pt>
                <c:pt idx="6">
                  <c:v>9.2691102528601625</c:v>
                </c:pt>
                <c:pt idx="7">
                  <c:v>9.3019907124086547</c:v>
                </c:pt>
                <c:pt idx="8">
                  <c:v>9.8742431299487663</c:v>
                </c:pt>
                <c:pt idx="9">
                  <c:v>9.7402366653637049</c:v>
                </c:pt>
              </c:numCache>
            </c:numRef>
          </c:val>
          <c:smooth val="0"/>
          <c:extLst>
            <c:ext xmlns:c16="http://schemas.microsoft.com/office/drawing/2014/chart" uri="{C3380CC4-5D6E-409C-BE32-E72D297353CC}">
              <c16:uniqueId val="{00000000-9C0A-4DE1-AE44-FA7A4550FF27}"/>
            </c:ext>
          </c:extLst>
        </c:ser>
        <c:ser>
          <c:idx val="0"/>
          <c:order val="1"/>
          <c:tx>
            <c:v>England</c:v>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val>
            <c:numRef>
              <c:f>'Table 13'!$L$10:$AV$10</c:f>
              <c:numCache>
                <c:formatCode>#,##0.0</c:formatCode>
                <c:ptCount val="10"/>
                <c:pt idx="0">
                  <c:v>18.288095578846139</c:v>
                </c:pt>
                <c:pt idx="1">
                  <c:v>17.844745081312897</c:v>
                </c:pt>
                <c:pt idx="2">
                  <c:v>17.023505667140853</c:v>
                </c:pt>
                <c:pt idx="3">
                  <c:v>15.954573499268468</c:v>
                </c:pt>
                <c:pt idx="4">
                  <c:v>15.132635826172459</c:v>
                </c:pt>
                <c:pt idx="5">
                  <c:v>12.624566803383161</c:v>
                </c:pt>
                <c:pt idx="6">
                  <c:v>11.58918586746484</c:v>
                </c:pt>
                <c:pt idx="7">
                  <c:v>11.559115846202827</c:v>
                </c:pt>
                <c:pt idx="8" formatCode="0.0">
                  <c:v>11.706073589557896</c:v>
                </c:pt>
                <c:pt idx="9" formatCode="0.0">
                  <c:v>11.873553525686708</c:v>
                </c:pt>
              </c:numCache>
            </c:numRef>
          </c:val>
          <c:smooth val="0"/>
          <c:extLst>
            <c:ext xmlns:c16="http://schemas.microsoft.com/office/drawing/2014/chart" uri="{C3380CC4-5D6E-409C-BE32-E72D297353CC}">
              <c16:uniqueId val="{00000001-9C0A-4DE1-AE44-FA7A4550FF27}"/>
            </c:ext>
          </c:extLst>
        </c:ser>
        <c:ser>
          <c:idx val="4"/>
          <c:order val="2"/>
          <c:tx>
            <c:v>CIPFA mean</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'Table 13'!$L$196:$AV$196</c:f>
              <c:numCache>
                <c:formatCode>0.0</c:formatCode>
                <c:ptCount val="10"/>
                <c:pt idx="0">
                  <c:v>15.995228393673093</c:v>
                </c:pt>
                <c:pt idx="1">
                  <c:v>15.719911237699717</c:v>
                </c:pt>
                <c:pt idx="2">
                  <c:v>15.055757473378872</c:v>
                </c:pt>
                <c:pt idx="3">
                  <c:v>14.187478115728238</c:v>
                </c:pt>
                <c:pt idx="4">
                  <c:v>13.795559475855175</c:v>
                </c:pt>
                <c:pt idx="5">
                  <c:v>11.847019136894605</c:v>
                </c:pt>
                <c:pt idx="6">
                  <c:v>11.128379304540791</c:v>
                </c:pt>
                <c:pt idx="7">
                  <c:v>11.140373973067614</c:v>
                </c:pt>
                <c:pt idx="8">
                  <c:v>11.233111032197076</c:v>
                </c:pt>
                <c:pt idx="9">
                  <c:v>11.5230421269708</c:v>
                </c:pt>
              </c:numCache>
            </c:numRef>
          </c:val>
          <c:smooth val="0"/>
          <c:extLst>
            <c:ext xmlns:c16="http://schemas.microsoft.com/office/drawing/2014/chart" uri="{C3380CC4-5D6E-409C-BE32-E72D297353CC}">
              <c16:uniqueId val="{00000002-9C0A-4DE1-AE44-FA7A4550FF27}"/>
            </c:ext>
          </c:extLst>
        </c:ser>
        <c:dLbls>
          <c:showLegendKey val="0"/>
          <c:showVal val="0"/>
          <c:showCatName val="0"/>
          <c:showSerName val="0"/>
          <c:showPercent val="0"/>
          <c:showBubbleSize val="0"/>
        </c:dLbls>
        <c:marker val="1"/>
        <c:smooth val="0"/>
        <c:axId val="589934528"/>
        <c:axId val="589944040"/>
      </c:lineChart>
      <c:catAx>
        <c:axId val="5899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89944040"/>
        <c:crosses val="autoZero"/>
        <c:auto val="1"/>
        <c:lblAlgn val="ctr"/>
        <c:lblOffset val="100"/>
        <c:noMultiLvlLbl val="0"/>
      </c:catAx>
      <c:valAx>
        <c:axId val="589944040"/>
        <c:scaling>
          <c:orientation val="minMax"/>
          <c:max val="19"/>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 school age pupils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89934528"/>
        <c:crosses val="autoZero"/>
        <c:crossBetween val="between"/>
        <c:majorUnit val="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Primary School</a:t>
            </a:r>
            <a:r>
              <a:rPr lang="en-GB" baseline="0"/>
              <a:t> Ages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58208004135306E-2"/>
          <c:y val="0.23671934531369063"/>
          <c:w val="0.91051695787602105"/>
          <c:h val="0.6463539020828043"/>
        </c:manualLayout>
      </c:layout>
      <c:lineChart>
        <c:grouping val="standard"/>
        <c:varyColors val="0"/>
        <c:ser>
          <c:idx val="2"/>
          <c:order val="2"/>
          <c:tx>
            <c:strRef>
              <c:f>Overview!$A$6</c:f>
              <c:strCache>
                <c:ptCount val="1"/>
                <c:pt idx="0">
                  <c:v>reception</c:v>
                </c:pt>
              </c:strCache>
            </c:strRef>
          </c:tx>
          <c:spPr>
            <a:ln w="28575" cap="rnd">
              <a:solidFill>
                <a:schemeClr val="accent3"/>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Overview!$B$6:$G$6</c:f>
              <c:numCache>
                <c:formatCode>General</c:formatCode>
                <c:ptCount val="6"/>
                <c:pt idx="0">
                  <c:v>49</c:v>
                </c:pt>
                <c:pt idx="1">
                  <c:v>39</c:v>
                </c:pt>
                <c:pt idx="2">
                  <c:v>80</c:v>
                </c:pt>
                <c:pt idx="3">
                  <c:v>80</c:v>
                </c:pt>
                <c:pt idx="4">
                  <c:v>82</c:v>
                </c:pt>
                <c:pt idx="5" formatCode="0">
                  <c:v>59.2</c:v>
                </c:pt>
              </c:numCache>
            </c:numRef>
          </c:val>
          <c:smooth val="0"/>
          <c:extLst>
            <c:ext xmlns:c16="http://schemas.microsoft.com/office/drawing/2014/chart" uri="{C3380CC4-5D6E-409C-BE32-E72D297353CC}">
              <c16:uniqueId val="{00000000-AD2C-40B2-B2BE-7F06FF8BCF19}"/>
            </c:ext>
          </c:extLst>
        </c:ser>
        <c:ser>
          <c:idx val="3"/>
          <c:order val="3"/>
          <c:tx>
            <c:strRef>
              <c:f>Overview!$A$7</c:f>
              <c:strCache>
                <c:ptCount val="1"/>
                <c:pt idx="0">
                  <c:v>y1</c:v>
                </c:pt>
              </c:strCache>
            </c:strRef>
          </c:tx>
          <c:spPr>
            <a:ln w="28575" cap="rnd">
              <a:solidFill>
                <a:schemeClr val="accent4"/>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Overview!$B$7:$G$7</c:f>
              <c:numCache>
                <c:formatCode>General</c:formatCode>
                <c:ptCount val="6"/>
                <c:pt idx="0">
                  <c:v>27</c:v>
                </c:pt>
                <c:pt idx="1">
                  <c:v>69</c:v>
                </c:pt>
                <c:pt idx="2">
                  <c:v>49</c:v>
                </c:pt>
                <c:pt idx="3">
                  <c:v>96</c:v>
                </c:pt>
                <c:pt idx="4">
                  <c:v>72</c:v>
                </c:pt>
                <c:pt idx="5" formatCode="0">
                  <c:v>48</c:v>
                </c:pt>
              </c:numCache>
            </c:numRef>
          </c:val>
          <c:smooth val="0"/>
          <c:extLst>
            <c:ext xmlns:c16="http://schemas.microsoft.com/office/drawing/2014/chart" uri="{C3380CC4-5D6E-409C-BE32-E72D297353CC}">
              <c16:uniqueId val="{00000001-AD2C-40B2-B2BE-7F06FF8BCF19}"/>
            </c:ext>
          </c:extLst>
        </c:ser>
        <c:ser>
          <c:idx val="4"/>
          <c:order val="4"/>
          <c:tx>
            <c:strRef>
              <c:f>Overview!$A$8</c:f>
              <c:strCache>
                <c:ptCount val="1"/>
                <c:pt idx="0">
                  <c:v>y2</c:v>
                </c:pt>
              </c:strCache>
            </c:strRef>
          </c:tx>
          <c:spPr>
            <a:ln w="28575" cap="rnd">
              <a:solidFill>
                <a:schemeClr val="accent5"/>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Overview!$B$8:$G$8</c:f>
              <c:numCache>
                <c:formatCode>General</c:formatCode>
                <c:ptCount val="6"/>
                <c:pt idx="0">
                  <c:v>27</c:v>
                </c:pt>
                <c:pt idx="1">
                  <c:v>57</c:v>
                </c:pt>
                <c:pt idx="2">
                  <c:v>71</c:v>
                </c:pt>
                <c:pt idx="3">
                  <c:v>73</c:v>
                </c:pt>
                <c:pt idx="4">
                  <c:v>83</c:v>
                </c:pt>
                <c:pt idx="5" formatCode="0">
                  <c:v>80</c:v>
                </c:pt>
              </c:numCache>
            </c:numRef>
          </c:val>
          <c:smooth val="0"/>
          <c:extLst>
            <c:ext xmlns:c16="http://schemas.microsoft.com/office/drawing/2014/chart" uri="{C3380CC4-5D6E-409C-BE32-E72D297353CC}">
              <c16:uniqueId val="{00000002-AD2C-40B2-B2BE-7F06FF8BCF19}"/>
            </c:ext>
          </c:extLst>
        </c:ser>
        <c:ser>
          <c:idx val="5"/>
          <c:order val="5"/>
          <c:tx>
            <c:strRef>
              <c:f>Overview!$A$9</c:f>
              <c:strCache>
                <c:ptCount val="1"/>
                <c:pt idx="0">
                  <c:v>y3</c:v>
                </c:pt>
              </c:strCache>
            </c:strRef>
          </c:tx>
          <c:spPr>
            <a:ln w="28575" cap="rnd">
              <a:solidFill>
                <a:schemeClr val="accent6"/>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Overview!$B$9:$G$9</c:f>
              <c:numCache>
                <c:formatCode>General</c:formatCode>
                <c:ptCount val="6"/>
                <c:pt idx="0">
                  <c:v>41</c:v>
                </c:pt>
                <c:pt idx="1">
                  <c:v>46</c:v>
                </c:pt>
                <c:pt idx="2">
                  <c:v>59</c:v>
                </c:pt>
                <c:pt idx="3">
                  <c:v>92</c:v>
                </c:pt>
                <c:pt idx="4">
                  <c:v>75</c:v>
                </c:pt>
                <c:pt idx="5" formatCode="0">
                  <c:v>96</c:v>
                </c:pt>
              </c:numCache>
            </c:numRef>
          </c:val>
          <c:smooth val="0"/>
          <c:extLst>
            <c:ext xmlns:c16="http://schemas.microsoft.com/office/drawing/2014/chart" uri="{C3380CC4-5D6E-409C-BE32-E72D297353CC}">
              <c16:uniqueId val="{00000003-AD2C-40B2-B2BE-7F06FF8BCF19}"/>
            </c:ext>
          </c:extLst>
        </c:ser>
        <c:ser>
          <c:idx val="6"/>
          <c:order val="6"/>
          <c:tx>
            <c:strRef>
              <c:f>Overview!$A$10</c:f>
              <c:strCache>
                <c:ptCount val="1"/>
                <c:pt idx="0">
                  <c:v>y4</c:v>
                </c:pt>
              </c:strCache>
            </c:strRef>
          </c:tx>
          <c:spPr>
            <a:ln w="28575" cap="rnd">
              <a:solidFill>
                <a:schemeClr val="accent1">
                  <a:lumMod val="6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Overview!$B$10:$G$10</c:f>
              <c:numCache>
                <c:formatCode>General</c:formatCode>
                <c:ptCount val="6"/>
                <c:pt idx="0">
                  <c:v>47</c:v>
                </c:pt>
                <c:pt idx="1">
                  <c:v>58</c:v>
                </c:pt>
                <c:pt idx="2">
                  <c:v>55</c:v>
                </c:pt>
                <c:pt idx="3">
                  <c:v>75</c:v>
                </c:pt>
                <c:pt idx="4">
                  <c:v>77</c:v>
                </c:pt>
                <c:pt idx="5" formatCode="0">
                  <c:v>72</c:v>
                </c:pt>
              </c:numCache>
            </c:numRef>
          </c:val>
          <c:smooth val="0"/>
          <c:extLst>
            <c:ext xmlns:c16="http://schemas.microsoft.com/office/drawing/2014/chart" uri="{C3380CC4-5D6E-409C-BE32-E72D297353CC}">
              <c16:uniqueId val="{00000004-AD2C-40B2-B2BE-7F06FF8BCF19}"/>
            </c:ext>
          </c:extLst>
        </c:ser>
        <c:ser>
          <c:idx val="7"/>
          <c:order val="7"/>
          <c:tx>
            <c:strRef>
              <c:f>Overview!$A$11</c:f>
              <c:strCache>
                <c:ptCount val="1"/>
                <c:pt idx="0">
                  <c:v>y5</c:v>
                </c:pt>
              </c:strCache>
            </c:strRef>
          </c:tx>
          <c:spPr>
            <a:ln w="28575" cap="rnd">
              <a:solidFill>
                <a:schemeClr val="accent2">
                  <a:lumMod val="6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Overview!$B$11:$G$11</c:f>
              <c:numCache>
                <c:formatCode>General</c:formatCode>
                <c:ptCount val="6"/>
                <c:pt idx="0">
                  <c:v>47</c:v>
                </c:pt>
                <c:pt idx="1">
                  <c:v>66</c:v>
                </c:pt>
                <c:pt idx="2">
                  <c:v>63</c:v>
                </c:pt>
                <c:pt idx="3">
                  <c:v>89</c:v>
                </c:pt>
                <c:pt idx="4">
                  <c:v>75</c:v>
                </c:pt>
                <c:pt idx="5" formatCode="0">
                  <c:v>84.800000000000011</c:v>
                </c:pt>
              </c:numCache>
            </c:numRef>
          </c:val>
          <c:smooth val="0"/>
          <c:extLst>
            <c:ext xmlns:c16="http://schemas.microsoft.com/office/drawing/2014/chart" uri="{C3380CC4-5D6E-409C-BE32-E72D297353CC}">
              <c16:uniqueId val="{00000005-AD2C-40B2-B2BE-7F06FF8BCF19}"/>
            </c:ext>
          </c:extLst>
        </c:ser>
        <c:ser>
          <c:idx val="8"/>
          <c:order val="8"/>
          <c:tx>
            <c:strRef>
              <c:f>Overview!$A$12</c:f>
              <c:strCache>
                <c:ptCount val="1"/>
                <c:pt idx="0">
                  <c:v>y6</c:v>
                </c:pt>
              </c:strCache>
            </c:strRef>
          </c:tx>
          <c:spPr>
            <a:ln w="28575" cap="rnd">
              <a:solidFill>
                <a:schemeClr val="accent3">
                  <a:lumMod val="6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Overview!$B$12:$G$12</c:f>
              <c:numCache>
                <c:formatCode>General</c:formatCode>
                <c:ptCount val="6"/>
                <c:pt idx="0">
                  <c:v>49</c:v>
                </c:pt>
                <c:pt idx="1">
                  <c:v>68</c:v>
                </c:pt>
                <c:pt idx="2">
                  <c:v>87</c:v>
                </c:pt>
                <c:pt idx="3">
                  <c:v>104</c:v>
                </c:pt>
                <c:pt idx="4">
                  <c:v>136</c:v>
                </c:pt>
                <c:pt idx="5" formatCode="0">
                  <c:v>164.8</c:v>
                </c:pt>
              </c:numCache>
            </c:numRef>
          </c:val>
          <c:smooth val="0"/>
          <c:extLst>
            <c:ext xmlns:c16="http://schemas.microsoft.com/office/drawing/2014/chart" uri="{C3380CC4-5D6E-409C-BE32-E72D297353CC}">
              <c16:uniqueId val="{00000006-AD2C-40B2-B2BE-7F06FF8BCF19}"/>
            </c:ext>
          </c:extLst>
        </c:ser>
        <c:dLbls>
          <c:showLegendKey val="0"/>
          <c:showVal val="0"/>
          <c:showCatName val="0"/>
          <c:showSerName val="0"/>
          <c:showPercent val="0"/>
          <c:showBubbleSize val="0"/>
        </c:dLbls>
        <c:smooth val="0"/>
        <c:axId val="406314904"/>
        <c:axId val="406317200"/>
        <c:extLst>
          <c:ext xmlns:c15="http://schemas.microsoft.com/office/drawing/2012/chart" uri="{02D57815-91ED-43cb-92C2-25804820EDAC}">
            <c15:filteredLineSeries>
              <c15:ser>
                <c:idx val="0"/>
                <c:order val="0"/>
                <c:tx>
                  <c:strRef>
                    <c:extLst>
                      <c:ext uri="{02D57815-91ED-43cb-92C2-25804820EDAC}">
                        <c15:formulaRef>
                          <c15:sqref>Overview!$A$4</c15:sqref>
                        </c15:formulaRef>
                      </c:ext>
                    </c:extLst>
                    <c:strCache>
                      <c:ptCount val="1"/>
                      <c:pt idx="0">
                        <c:v>nursery 1</c:v>
                      </c:pt>
                    </c:strCache>
                  </c:strRef>
                </c:tx>
                <c:spPr>
                  <a:ln w="28575" cap="rnd">
                    <a:solidFill>
                      <a:schemeClr val="accent1"/>
                    </a:solidFill>
                    <a:round/>
                  </a:ln>
                  <a:effectLst/>
                </c:spPr>
                <c:marker>
                  <c:symbol val="none"/>
                </c:marker>
                <c:cat>
                  <c:strRef>
                    <c:extLst>
                      <c:ex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c:ext uri="{02D57815-91ED-43cb-92C2-25804820EDAC}">
                        <c15:formulaRef>
                          <c15:sqref>Overview!$B$4:$G$4</c15:sqref>
                        </c15:formulaRef>
                      </c:ext>
                    </c:extLst>
                    <c:numCache>
                      <c:formatCode>General</c:formatCode>
                      <c:ptCount val="6"/>
                      <c:pt idx="0">
                        <c:v>9</c:v>
                      </c:pt>
                      <c:pt idx="1">
                        <c:v>17</c:v>
                      </c:pt>
                      <c:pt idx="2">
                        <c:v>9</c:v>
                      </c:pt>
                      <c:pt idx="3">
                        <c:v>27</c:v>
                      </c:pt>
                      <c:pt idx="4">
                        <c:v>15</c:v>
                      </c:pt>
                      <c:pt idx="5" formatCode="0">
                        <c:v>14.4</c:v>
                      </c:pt>
                    </c:numCache>
                  </c:numRef>
                </c:val>
                <c:smooth val="0"/>
                <c:extLst>
                  <c:ext xmlns:c16="http://schemas.microsoft.com/office/drawing/2014/chart" uri="{C3380CC4-5D6E-409C-BE32-E72D297353CC}">
                    <c16:uniqueId val="{00000007-AD2C-40B2-B2BE-7F06FF8BCF1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Overview!$A$5</c15:sqref>
                        </c15:formulaRef>
                      </c:ext>
                    </c:extLst>
                    <c:strCache>
                      <c:ptCount val="1"/>
                      <c:pt idx="0">
                        <c:v>nursery 2</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Overview!$B$5:$G$5</c15:sqref>
                        </c15:formulaRef>
                      </c:ext>
                    </c:extLst>
                    <c:numCache>
                      <c:formatCode>General</c:formatCode>
                      <c:ptCount val="6"/>
                      <c:pt idx="0">
                        <c:v>10</c:v>
                      </c:pt>
                      <c:pt idx="1">
                        <c:v>62</c:v>
                      </c:pt>
                      <c:pt idx="2">
                        <c:v>70</c:v>
                      </c:pt>
                      <c:pt idx="3">
                        <c:v>41</c:v>
                      </c:pt>
                      <c:pt idx="4">
                        <c:v>69</c:v>
                      </c:pt>
                      <c:pt idx="5" formatCode="0">
                        <c:v>60.800000000000004</c:v>
                      </c:pt>
                    </c:numCache>
                  </c:numRef>
                </c:val>
                <c:smooth val="0"/>
                <c:extLst xmlns:c15="http://schemas.microsoft.com/office/drawing/2012/chart">
                  <c:ext xmlns:c16="http://schemas.microsoft.com/office/drawing/2014/chart" uri="{C3380CC4-5D6E-409C-BE32-E72D297353CC}">
                    <c16:uniqueId val="{00000008-AD2C-40B2-B2BE-7F06FF8BCF19}"/>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Overview!$A$13</c15:sqref>
                        </c15:formulaRef>
                      </c:ext>
                    </c:extLst>
                    <c:strCache>
                      <c:ptCount val="1"/>
                      <c:pt idx="0">
                        <c:v>y7</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Overview!$B$13:$G$13</c15:sqref>
                        </c15:formulaRef>
                      </c:ext>
                    </c:extLst>
                    <c:numCache>
                      <c:formatCode>General</c:formatCode>
                      <c:ptCount val="6"/>
                      <c:pt idx="0">
                        <c:v>60</c:v>
                      </c:pt>
                      <c:pt idx="1">
                        <c:v>53</c:v>
                      </c:pt>
                      <c:pt idx="2">
                        <c:v>61</c:v>
                      </c:pt>
                      <c:pt idx="3">
                        <c:v>75</c:v>
                      </c:pt>
                      <c:pt idx="4">
                        <c:v>75</c:v>
                      </c:pt>
                      <c:pt idx="5" formatCode="0">
                        <c:v>59.2</c:v>
                      </c:pt>
                    </c:numCache>
                  </c:numRef>
                </c:val>
                <c:smooth val="0"/>
                <c:extLst xmlns:c15="http://schemas.microsoft.com/office/drawing/2012/chart">
                  <c:ext xmlns:c16="http://schemas.microsoft.com/office/drawing/2014/chart" uri="{C3380CC4-5D6E-409C-BE32-E72D297353CC}">
                    <c16:uniqueId val="{00000009-AD2C-40B2-B2BE-7F06FF8BCF19}"/>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Overview!$A$14</c15:sqref>
                        </c15:formulaRef>
                      </c:ext>
                    </c:extLst>
                    <c:strCache>
                      <c:ptCount val="1"/>
                      <c:pt idx="0">
                        <c:v>y8</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Overview!$B$14:$G$14</c15:sqref>
                        </c15:formulaRef>
                      </c:ext>
                    </c:extLst>
                    <c:numCache>
                      <c:formatCode>General</c:formatCode>
                      <c:ptCount val="6"/>
                      <c:pt idx="0">
                        <c:v>58</c:v>
                      </c:pt>
                      <c:pt idx="1">
                        <c:v>76</c:v>
                      </c:pt>
                      <c:pt idx="2">
                        <c:v>52</c:v>
                      </c:pt>
                      <c:pt idx="3">
                        <c:v>66</c:v>
                      </c:pt>
                      <c:pt idx="4">
                        <c:v>80</c:v>
                      </c:pt>
                      <c:pt idx="5" formatCode="0">
                        <c:v>64</c:v>
                      </c:pt>
                    </c:numCache>
                  </c:numRef>
                </c:val>
                <c:smooth val="0"/>
                <c:extLst xmlns:c15="http://schemas.microsoft.com/office/drawing/2012/chart">
                  <c:ext xmlns:c16="http://schemas.microsoft.com/office/drawing/2014/chart" uri="{C3380CC4-5D6E-409C-BE32-E72D297353CC}">
                    <c16:uniqueId val="{0000000A-AD2C-40B2-B2BE-7F06FF8BCF19}"/>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Overview!$A$15</c15:sqref>
                        </c15:formulaRef>
                      </c:ext>
                    </c:extLst>
                    <c:strCache>
                      <c:ptCount val="1"/>
                      <c:pt idx="0">
                        <c:v>y9</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Overview!$B$15:$G$15</c15:sqref>
                        </c15:formulaRef>
                      </c:ext>
                    </c:extLst>
                    <c:numCache>
                      <c:formatCode>General</c:formatCode>
                      <c:ptCount val="6"/>
                      <c:pt idx="0">
                        <c:v>62</c:v>
                      </c:pt>
                      <c:pt idx="1">
                        <c:v>65</c:v>
                      </c:pt>
                      <c:pt idx="2">
                        <c:v>72</c:v>
                      </c:pt>
                      <c:pt idx="3">
                        <c:v>69</c:v>
                      </c:pt>
                      <c:pt idx="4">
                        <c:v>78</c:v>
                      </c:pt>
                      <c:pt idx="5" formatCode="0">
                        <c:v>49.6</c:v>
                      </c:pt>
                    </c:numCache>
                  </c:numRef>
                </c:val>
                <c:smooth val="0"/>
                <c:extLst xmlns:c15="http://schemas.microsoft.com/office/drawing/2012/chart">
                  <c:ext xmlns:c16="http://schemas.microsoft.com/office/drawing/2014/chart" uri="{C3380CC4-5D6E-409C-BE32-E72D297353CC}">
                    <c16:uniqueId val="{0000000B-AD2C-40B2-B2BE-7F06FF8BCF19}"/>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Overview!$A$16</c15:sqref>
                        </c15:formulaRef>
                      </c:ext>
                    </c:extLst>
                    <c:strCache>
                      <c:ptCount val="1"/>
                      <c:pt idx="0">
                        <c:v>y10</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Overview!$B$16:$G$16</c15:sqref>
                        </c15:formulaRef>
                      </c:ext>
                    </c:extLst>
                    <c:numCache>
                      <c:formatCode>General</c:formatCode>
                      <c:ptCount val="6"/>
                      <c:pt idx="0">
                        <c:v>59</c:v>
                      </c:pt>
                      <c:pt idx="1">
                        <c:v>76</c:v>
                      </c:pt>
                      <c:pt idx="2">
                        <c:v>69</c:v>
                      </c:pt>
                      <c:pt idx="3">
                        <c:v>82</c:v>
                      </c:pt>
                      <c:pt idx="4">
                        <c:v>64</c:v>
                      </c:pt>
                      <c:pt idx="5" formatCode="0">
                        <c:v>56</c:v>
                      </c:pt>
                    </c:numCache>
                  </c:numRef>
                </c:val>
                <c:smooth val="0"/>
                <c:extLst xmlns:c15="http://schemas.microsoft.com/office/drawing/2012/chart">
                  <c:ext xmlns:c16="http://schemas.microsoft.com/office/drawing/2014/chart" uri="{C3380CC4-5D6E-409C-BE32-E72D297353CC}">
                    <c16:uniqueId val="{0000000C-AD2C-40B2-B2BE-7F06FF8BCF19}"/>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Overview!$A$17</c15:sqref>
                        </c15:formulaRef>
                      </c:ext>
                    </c:extLst>
                    <c:strCache>
                      <c:ptCount val="1"/>
                      <c:pt idx="0">
                        <c:v>y11</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Overview!$B$17:$G$17</c15:sqref>
                        </c15:formulaRef>
                      </c:ext>
                    </c:extLst>
                    <c:numCache>
                      <c:formatCode>General</c:formatCode>
                      <c:ptCount val="6"/>
                      <c:pt idx="0">
                        <c:v>64</c:v>
                      </c:pt>
                      <c:pt idx="1">
                        <c:v>70</c:v>
                      </c:pt>
                      <c:pt idx="2">
                        <c:v>77</c:v>
                      </c:pt>
                      <c:pt idx="3">
                        <c:v>75</c:v>
                      </c:pt>
                      <c:pt idx="4">
                        <c:v>99</c:v>
                      </c:pt>
                      <c:pt idx="5" formatCode="0">
                        <c:v>105.60000000000001</c:v>
                      </c:pt>
                    </c:numCache>
                  </c:numRef>
                </c:val>
                <c:smooth val="0"/>
                <c:extLst xmlns:c15="http://schemas.microsoft.com/office/drawing/2012/chart">
                  <c:ext xmlns:c16="http://schemas.microsoft.com/office/drawing/2014/chart" uri="{C3380CC4-5D6E-409C-BE32-E72D297353CC}">
                    <c16:uniqueId val="{0000000D-AD2C-40B2-B2BE-7F06FF8BCF19}"/>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Overview!$A$18</c15:sqref>
                        </c15:formulaRef>
                      </c:ext>
                    </c:extLst>
                    <c:strCache>
                      <c:ptCount val="1"/>
                      <c:pt idx="0">
                        <c:v>y12 (17)</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Overview!$B$18:$G$18</c15:sqref>
                        </c15:formulaRef>
                      </c:ext>
                    </c:extLst>
                    <c:numCache>
                      <c:formatCode>General</c:formatCode>
                      <c:ptCount val="6"/>
                      <c:pt idx="0">
                        <c:v>41</c:v>
                      </c:pt>
                      <c:pt idx="1">
                        <c:v>53</c:v>
                      </c:pt>
                      <c:pt idx="2">
                        <c:v>56</c:v>
                      </c:pt>
                      <c:pt idx="3">
                        <c:v>66</c:v>
                      </c:pt>
                      <c:pt idx="4">
                        <c:v>71</c:v>
                      </c:pt>
                      <c:pt idx="5" formatCode="0">
                        <c:v>54.400000000000006</c:v>
                      </c:pt>
                    </c:numCache>
                  </c:numRef>
                </c:val>
                <c:smooth val="0"/>
                <c:extLst xmlns:c15="http://schemas.microsoft.com/office/drawing/2012/chart">
                  <c:ext xmlns:c16="http://schemas.microsoft.com/office/drawing/2014/chart" uri="{C3380CC4-5D6E-409C-BE32-E72D297353CC}">
                    <c16:uniqueId val="{0000000E-AD2C-40B2-B2BE-7F06FF8BCF19}"/>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Overview!$A$19</c15:sqref>
                        </c15:formulaRef>
                      </c:ext>
                    </c:extLst>
                    <c:strCache>
                      <c:ptCount val="1"/>
                      <c:pt idx="0">
                        <c:v>Y13 (18)</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Overview!$B$19:$G$19</c15:sqref>
                        </c15:formulaRef>
                      </c:ext>
                    </c:extLst>
                    <c:numCache>
                      <c:formatCode>General</c:formatCode>
                      <c:ptCount val="6"/>
                      <c:pt idx="0">
                        <c:v>23</c:v>
                      </c:pt>
                      <c:pt idx="1">
                        <c:v>42</c:v>
                      </c:pt>
                      <c:pt idx="2">
                        <c:v>37</c:v>
                      </c:pt>
                      <c:pt idx="3">
                        <c:v>61</c:v>
                      </c:pt>
                      <c:pt idx="4">
                        <c:v>56</c:v>
                      </c:pt>
                      <c:pt idx="5" formatCode="0">
                        <c:v>40</c:v>
                      </c:pt>
                    </c:numCache>
                  </c:numRef>
                </c:val>
                <c:smooth val="0"/>
                <c:extLst xmlns:c15="http://schemas.microsoft.com/office/drawing/2012/chart">
                  <c:ext xmlns:c16="http://schemas.microsoft.com/office/drawing/2014/chart" uri="{C3380CC4-5D6E-409C-BE32-E72D297353CC}">
                    <c16:uniqueId val="{0000000F-AD2C-40B2-B2BE-7F06FF8BCF19}"/>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Overview!$A$20</c15:sqref>
                        </c15:formulaRef>
                      </c:ext>
                    </c:extLst>
                    <c:strCache>
                      <c:ptCount val="1"/>
                      <c:pt idx="0">
                        <c:v>Y14 (19)</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Overview!$B$20:$G$20</c15:sqref>
                        </c15:formulaRef>
                      </c:ext>
                    </c:extLst>
                    <c:numCache>
                      <c:formatCode>General</c:formatCode>
                      <c:ptCount val="6"/>
                      <c:pt idx="0">
                        <c:v>14</c:v>
                      </c:pt>
                      <c:pt idx="1">
                        <c:v>27</c:v>
                      </c:pt>
                      <c:pt idx="2">
                        <c:v>48</c:v>
                      </c:pt>
                      <c:pt idx="3">
                        <c:v>34</c:v>
                      </c:pt>
                      <c:pt idx="4">
                        <c:v>55</c:v>
                      </c:pt>
                      <c:pt idx="5" formatCode="0">
                        <c:v>48</c:v>
                      </c:pt>
                    </c:numCache>
                  </c:numRef>
                </c:val>
                <c:smooth val="0"/>
                <c:extLst xmlns:c15="http://schemas.microsoft.com/office/drawing/2012/chart">
                  <c:ext xmlns:c16="http://schemas.microsoft.com/office/drawing/2014/chart" uri="{C3380CC4-5D6E-409C-BE32-E72D297353CC}">
                    <c16:uniqueId val="{00000010-AD2C-40B2-B2BE-7F06FF8BCF19}"/>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Overview!$A$21</c15:sqref>
                        </c15:formulaRef>
                      </c:ext>
                    </c:extLst>
                    <c:strCache>
                      <c:ptCount val="1"/>
                      <c:pt idx="0">
                        <c:v>Y15 (20)</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Overview!$B$21:$G$21</c15:sqref>
                        </c15:formulaRef>
                      </c:ext>
                    </c:extLst>
                    <c:numCache>
                      <c:formatCode>General</c:formatCode>
                      <c:ptCount val="6"/>
                      <c:pt idx="0">
                        <c:v>4</c:v>
                      </c:pt>
                      <c:pt idx="1">
                        <c:v>15</c:v>
                      </c:pt>
                      <c:pt idx="2">
                        <c:v>32</c:v>
                      </c:pt>
                      <c:pt idx="3">
                        <c:v>37</c:v>
                      </c:pt>
                      <c:pt idx="4">
                        <c:v>28</c:v>
                      </c:pt>
                      <c:pt idx="5" formatCode="0">
                        <c:v>22.400000000000002</c:v>
                      </c:pt>
                    </c:numCache>
                  </c:numRef>
                </c:val>
                <c:smooth val="0"/>
                <c:extLst xmlns:c15="http://schemas.microsoft.com/office/drawing/2012/chart">
                  <c:ext xmlns:c16="http://schemas.microsoft.com/office/drawing/2014/chart" uri="{C3380CC4-5D6E-409C-BE32-E72D297353CC}">
                    <c16:uniqueId val="{00000011-AD2C-40B2-B2BE-7F06FF8BCF19}"/>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Overview!$A$22</c15:sqref>
                        </c15:formulaRef>
                      </c:ext>
                    </c:extLst>
                    <c:strCache>
                      <c:ptCount val="1"/>
                      <c:pt idx="0">
                        <c:v>Y16 (21)</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Overview!$B$22:$G$22</c15:sqref>
                        </c15:formulaRef>
                      </c:ext>
                    </c:extLst>
                    <c:numCache>
                      <c:formatCode>General</c:formatCode>
                      <c:ptCount val="6"/>
                      <c:pt idx="0">
                        <c:v>0</c:v>
                      </c:pt>
                      <c:pt idx="1">
                        <c:v>3</c:v>
                      </c:pt>
                      <c:pt idx="2">
                        <c:v>23</c:v>
                      </c:pt>
                      <c:pt idx="3">
                        <c:v>23</c:v>
                      </c:pt>
                      <c:pt idx="4">
                        <c:v>33</c:v>
                      </c:pt>
                      <c:pt idx="5" formatCode="0">
                        <c:v>9.6000000000000014</c:v>
                      </c:pt>
                    </c:numCache>
                  </c:numRef>
                </c:val>
                <c:smooth val="0"/>
                <c:extLst xmlns:c15="http://schemas.microsoft.com/office/drawing/2012/chart">
                  <c:ext xmlns:c16="http://schemas.microsoft.com/office/drawing/2014/chart" uri="{C3380CC4-5D6E-409C-BE32-E72D297353CC}">
                    <c16:uniqueId val="{00000012-AD2C-40B2-B2BE-7F06FF8BCF19}"/>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Overview!$A$23</c15:sqref>
                        </c15:formulaRef>
                      </c:ext>
                    </c:extLst>
                    <c:strCache>
                      <c:ptCount val="1"/>
                      <c:pt idx="0">
                        <c:v>Y17 (22)</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Overview!$B$23:$G$23</c15:sqref>
                        </c15:formulaRef>
                      </c:ext>
                    </c:extLst>
                    <c:numCache>
                      <c:formatCode>General</c:formatCode>
                      <c:ptCount val="6"/>
                      <c:pt idx="0">
                        <c:v>1</c:v>
                      </c:pt>
                      <c:pt idx="1">
                        <c:v>14</c:v>
                      </c:pt>
                      <c:pt idx="2">
                        <c:v>12</c:v>
                      </c:pt>
                      <c:pt idx="3">
                        <c:v>25</c:v>
                      </c:pt>
                      <c:pt idx="4">
                        <c:v>15</c:v>
                      </c:pt>
                      <c:pt idx="5" formatCode="0">
                        <c:v>24</c:v>
                      </c:pt>
                    </c:numCache>
                  </c:numRef>
                </c:val>
                <c:smooth val="0"/>
                <c:extLst xmlns:c15="http://schemas.microsoft.com/office/drawing/2012/chart">
                  <c:ext xmlns:c16="http://schemas.microsoft.com/office/drawing/2014/chart" uri="{C3380CC4-5D6E-409C-BE32-E72D297353CC}">
                    <c16:uniqueId val="{00000013-AD2C-40B2-B2BE-7F06FF8BCF19}"/>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Overview!$A$24</c15:sqref>
                        </c15:formulaRef>
                      </c:ext>
                    </c:extLst>
                    <c:strCache>
                      <c:ptCount val="1"/>
                      <c:pt idx="0">
                        <c:v>23</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Overview!$B$24:$G$24</c15:sqref>
                        </c15:formulaRef>
                      </c:ext>
                    </c:extLst>
                    <c:numCache>
                      <c:formatCode>General</c:formatCode>
                      <c:ptCount val="6"/>
                      <c:pt idx="0">
                        <c:v>0</c:v>
                      </c:pt>
                      <c:pt idx="1">
                        <c:v>7</c:v>
                      </c:pt>
                      <c:pt idx="2">
                        <c:v>13</c:v>
                      </c:pt>
                      <c:pt idx="3">
                        <c:v>8</c:v>
                      </c:pt>
                      <c:pt idx="4">
                        <c:v>16</c:v>
                      </c:pt>
                      <c:pt idx="5" formatCode="0">
                        <c:v>6.4</c:v>
                      </c:pt>
                    </c:numCache>
                  </c:numRef>
                </c:val>
                <c:smooth val="0"/>
                <c:extLst xmlns:c15="http://schemas.microsoft.com/office/drawing/2012/chart">
                  <c:ext xmlns:c16="http://schemas.microsoft.com/office/drawing/2014/chart" uri="{C3380CC4-5D6E-409C-BE32-E72D297353CC}">
                    <c16:uniqueId val="{00000014-AD2C-40B2-B2BE-7F06FF8BCF19}"/>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Overview!$A$25</c15:sqref>
                        </c15:formulaRef>
                      </c:ext>
                    </c:extLst>
                    <c:strCache>
                      <c:ptCount val="1"/>
                      <c:pt idx="0">
                        <c:v>24</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Overview!$B$25:$G$25</c15:sqref>
                        </c15:formulaRef>
                      </c:ext>
                    </c:extLst>
                    <c:numCache>
                      <c:formatCode>General</c:formatCode>
                      <c:ptCount val="6"/>
                      <c:pt idx="0">
                        <c:v>0</c:v>
                      </c:pt>
                      <c:pt idx="1">
                        <c:v>0</c:v>
                      </c:pt>
                      <c:pt idx="2">
                        <c:v>6</c:v>
                      </c:pt>
                      <c:pt idx="3">
                        <c:v>18</c:v>
                      </c:pt>
                      <c:pt idx="4">
                        <c:v>1</c:v>
                      </c:pt>
                      <c:pt idx="5" formatCode="0">
                        <c:v>11.200000000000001</c:v>
                      </c:pt>
                    </c:numCache>
                  </c:numRef>
                </c:val>
                <c:smooth val="0"/>
                <c:extLst xmlns:c15="http://schemas.microsoft.com/office/drawing/2012/chart">
                  <c:ext xmlns:c16="http://schemas.microsoft.com/office/drawing/2014/chart" uri="{C3380CC4-5D6E-409C-BE32-E72D297353CC}">
                    <c16:uniqueId val="{00000015-AD2C-40B2-B2BE-7F06FF8BCF19}"/>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Overview!$A$26</c15:sqref>
                        </c15:formulaRef>
                      </c:ext>
                    </c:extLst>
                    <c:strCache>
                      <c:ptCount val="1"/>
                      <c:pt idx="0">
                        <c:v>25</c:v>
                      </c:pt>
                    </c:strCache>
                  </c:strRef>
                </c:tx>
                <c:spPr>
                  <a:ln w="28575" cap="rnd">
                    <a:solidFill>
                      <a:schemeClr val="accent5">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Overview!$B$26:$G$26</c15:sqref>
                        </c15:formulaRef>
                      </c:ext>
                    </c:extLst>
                    <c:numCache>
                      <c:formatCode>General</c:formatCode>
                      <c:ptCount val="6"/>
                      <c:pt idx="0">
                        <c:v>0</c:v>
                      </c:pt>
                      <c:pt idx="1">
                        <c:v>0</c:v>
                      </c:pt>
                      <c:pt idx="2">
                        <c:v>0</c:v>
                      </c:pt>
                      <c:pt idx="3">
                        <c:v>0</c:v>
                      </c:pt>
                      <c:pt idx="4">
                        <c:v>7</c:v>
                      </c:pt>
                      <c:pt idx="5" formatCode="0">
                        <c:v>4.8000000000000007</c:v>
                      </c:pt>
                    </c:numCache>
                  </c:numRef>
                </c:val>
                <c:smooth val="0"/>
                <c:extLst xmlns:c15="http://schemas.microsoft.com/office/drawing/2012/chart">
                  <c:ext xmlns:c16="http://schemas.microsoft.com/office/drawing/2014/chart" uri="{C3380CC4-5D6E-409C-BE32-E72D297353CC}">
                    <c16:uniqueId val="{00000016-AD2C-40B2-B2BE-7F06FF8BCF19}"/>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Overview!$A$27</c15:sqref>
                        </c15:formulaRef>
                      </c:ext>
                    </c:extLst>
                    <c:strCache>
                      <c:ptCount val="1"/>
                      <c:pt idx="0">
                        <c:v>unknown </c:v>
                      </c:pt>
                    </c:strCache>
                  </c:strRef>
                </c:tx>
                <c:spPr>
                  <a:ln w="28575" cap="rnd">
                    <a:solidFill>
                      <a:schemeClr val="accent6">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Overview!$B$27:$G$27</c15:sqref>
                        </c15:formulaRef>
                      </c:ext>
                    </c:extLst>
                    <c:numCache>
                      <c:formatCode>General</c:formatCode>
                      <c:ptCount val="6"/>
                      <c:pt idx="0">
                        <c:v>1</c:v>
                      </c:pt>
                      <c:pt idx="1">
                        <c:v>4</c:v>
                      </c:pt>
                      <c:pt idx="2">
                        <c:v>0</c:v>
                      </c:pt>
                      <c:pt idx="3">
                        <c:v>4</c:v>
                      </c:pt>
                      <c:pt idx="4">
                        <c:v>4</c:v>
                      </c:pt>
                      <c:pt idx="5" formatCode="0">
                        <c:v>0</c:v>
                      </c:pt>
                    </c:numCache>
                  </c:numRef>
                </c:val>
                <c:smooth val="0"/>
                <c:extLst xmlns:c15="http://schemas.microsoft.com/office/drawing/2012/chart">
                  <c:ext xmlns:c16="http://schemas.microsoft.com/office/drawing/2014/chart" uri="{C3380CC4-5D6E-409C-BE32-E72D297353CC}">
                    <c16:uniqueId val="{00000017-AD2C-40B2-B2BE-7F06FF8BCF19}"/>
                  </c:ext>
                </c:extLst>
              </c15:ser>
            </c15:filteredLineSeries>
          </c:ext>
        </c:extLst>
      </c:lineChart>
      <c:catAx>
        <c:axId val="40631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317200"/>
        <c:crosses val="autoZero"/>
        <c:auto val="1"/>
        <c:lblAlgn val="ctr"/>
        <c:lblOffset val="100"/>
        <c:noMultiLvlLbl val="0"/>
      </c:catAx>
      <c:valAx>
        <c:axId val="406317200"/>
        <c:scaling>
          <c:orientation val="minMax"/>
          <c:max val="18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314904"/>
        <c:crosses val="autoZero"/>
        <c:crossBetween val="between"/>
      </c:valAx>
      <c:spPr>
        <a:noFill/>
        <a:ln>
          <a:noFill/>
        </a:ln>
        <a:effectLst/>
      </c:spPr>
    </c:plotArea>
    <c:legend>
      <c:legendPos val="t"/>
      <c:layout>
        <c:manualLayout>
          <c:xMode val="edge"/>
          <c:yMode val="edge"/>
          <c:x val="0.15364963080803354"/>
          <c:y val="0.13150201612903226"/>
          <c:w val="0.69270056013796233"/>
          <c:h val="8.505603886207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Secondary</a:t>
            </a:r>
            <a:r>
              <a:rPr lang="en-GB" baseline="0"/>
              <a:t> School Ages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988188534860865E-2"/>
          <c:y val="0.22663870015240031"/>
          <c:w val="0.9113398365856954"/>
          <c:h val="0.65643454724409456"/>
        </c:manualLayout>
      </c:layout>
      <c:lineChart>
        <c:grouping val="standard"/>
        <c:varyColors val="0"/>
        <c:ser>
          <c:idx val="9"/>
          <c:order val="9"/>
          <c:tx>
            <c:strRef>
              <c:f>Overview!$A$13</c:f>
              <c:strCache>
                <c:ptCount val="1"/>
                <c:pt idx="0">
                  <c:v>y7</c:v>
                </c:pt>
              </c:strCache>
            </c:strRef>
          </c:tx>
          <c:spPr>
            <a:ln w="28575" cap="rnd">
              <a:solidFill>
                <a:schemeClr val="accent4">
                  <a:lumMod val="6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Overview!$B$13:$G$13</c:f>
              <c:numCache>
                <c:formatCode>General</c:formatCode>
                <c:ptCount val="6"/>
                <c:pt idx="0">
                  <c:v>60</c:v>
                </c:pt>
                <c:pt idx="1">
                  <c:v>53</c:v>
                </c:pt>
                <c:pt idx="2">
                  <c:v>61</c:v>
                </c:pt>
                <c:pt idx="3">
                  <c:v>75</c:v>
                </c:pt>
                <c:pt idx="4">
                  <c:v>75</c:v>
                </c:pt>
                <c:pt idx="5" formatCode="0">
                  <c:v>59.2</c:v>
                </c:pt>
              </c:numCache>
            </c:numRef>
          </c:val>
          <c:smooth val="0"/>
          <c:extLst>
            <c:ext xmlns:c16="http://schemas.microsoft.com/office/drawing/2014/chart" uri="{C3380CC4-5D6E-409C-BE32-E72D297353CC}">
              <c16:uniqueId val="{00000000-DC93-4BED-806E-3E8FE4EB58F9}"/>
            </c:ext>
          </c:extLst>
        </c:ser>
        <c:ser>
          <c:idx val="10"/>
          <c:order val="10"/>
          <c:tx>
            <c:strRef>
              <c:f>Overview!$A$14</c:f>
              <c:strCache>
                <c:ptCount val="1"/>
                <c:pt idx="0">
                  <c:v>y8</c:v>
                </c:pt>
              </c:strCache>
            </c:strRef>
          </c:tx>
          <c:spPr>
            <a:ln w="28575" cap="rnd">
              <a:solidFill>
                <a:schemeClr val="accent5">
                  <a:lumMod val="6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Overview!$B$14:$G$14</c:f>
              <c:numCache>
                <c:formatCode>General</c:formatCode>
                <c:ptCount val="6"/>
                <c:pt idx="0">
                  <c:v>58</c:v>
                </c:pt>
                <c:pt idx="1">
                  <c:v>76</c:v>
                </c:pt>
                <c:pt idx="2">
                  <c:v>52</c:v>
                </c:pt>
                <c:pt idx="3">
                  <c:v>66</c:v>
                </c:pt>
                <c:pt idx="4">
                  <c:v>80</c:v>
                </c:pt>
                <c:pt idx="5" formatCode="0">
                  <c:v>64</c:v>
                </c:pt>
              </c:numCache>
            </c:numRef>
          </c:val>
          <c:smooth val="0"/>
          <c:extLst>
            <c:ext xmlns:c16="http://schemas.microsoft.com/office/drawing/2014/chart" uri="{C3380CC4-5D6E-409C-BE32-E72D297353CC}">
              <c16:uniqueId val="{00000001-DC93-4BED-806E-3E8FE4EB58F9}"/>
            </c:ext>
          </c:extLst>
        </c:ser>
        <c:ser>
          <c:idx val="11"/>
          <c:order val="11"/>
          <c:tx>
            <c:strRef>
              <c:f>Overview!$A$15</c:f>
              <c:strCache>
                <c:ptCount val="1"/>
                <c:pt idx="0">
                  <c:v>y9</c:v>
                </c:pt>
              </c:strCache>
            </c:strRef>
          </c:tx>
          <c:spPr>
            <a:ln w="28575" cap="rnd">
              <a:solidFill>
                <a:schemeClr val="accent6">
                  <a:lumMod val="6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Overview!$B$15:$G$15</c:f>
              <c:numCache>
                <c:formatCode>General</c:formatCode>
                <c:ptCount val="6"/>
                <c:pt idx="0">
                  <c:v>62</c:v>
                </c:pt>
                <c:pt idx="1">
                  <c:v>65</c:v>
                </c:pt>
                <c:pt idx="2">
                  <c:v>72</c:v>
                </c:pt>
                <c:pt idx="3">
                  <c:v>69</c:v>
                </c:pt>
                <c:pt idx="4">
                  <c:v>78</c:v>
                </c:pt>
                <c:pt idx="5" formatCode="0">
                  <c:v>49.6</c:v>
                </c:pt>
              </c:numCache>
            </c:numRef>
          </c:val>
          <c:smooth val="0"/>
          <c:extLst>
            <c:ext xmlns:c16="http://schemas.microsoft.com/office/drawing/2014/chart" uri="{C3380CC4-5D6E-409C-BE32-E72D297353CC}">
              <c16:uniqueId val="{00000002-DC93-4BED-806E-3E8FE4EB58F9}"/>
            </c:ext>
          </c:extLst>
        </c:ser>
        <c:ser>
          <c:idx val="12"/>
          <c:order val="12"/>
          <c:tx>
            <c:strRef>
              <c:f>Overview!$A$16</c:f>
              <c:strCache>
                <c:ptCount val="1"/>
                <c:pt idx="0">
                  <c:v>y10</c:v>
                </c:pt>
              </c:strCache>
            </c:strRef>
          </c:tx>
          <c:spPr>
            <a:ln w="28575" cap="rnd">
              <a:solidFill>
                <a:schemeClr val="accent1">
                  <a:lumMod val="80000"/>
                  <a:lumOff val="2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Overview!$B$16:$G$16</c:f>
              <c:numCache>
                <c:formatCode>General</c:formatCode>
                <c:ptCount val="6"/>
                <c:pt idx="0">
                  <c:v>59</c:v>
                </c:pt>
                <c:pt idx="1">
                  <c:v>76</c:v>
                </c:pt>
                <c:pt idx="2">
                  <c:v>69</c:v>
                </c:pt>
                <c:pt idx="3">
                  <c:v>82</c:v>
                </c:pt>
                <c:pt idx="4">
                  <c:v>64</c:v>
                </c:pt>
                <c:pt idx="5" formatCode="0">
                  <c:v>56</c:v>
                </c:pt>
              </c:numCache>
            </c:numRef>
          </c:val>
          <c:smooth val="0"/>
          <c:extLst>
            <c:ext xmlns:c16="http://schemas.microsoft.com/office/drawing/2014/chart" uri="{C3380CC4-5D6E-409C-BE32-E72D297353CC}">
              <c16:uniqueId val="{00000003-DC93-4BED-806E-3E8FE4EB58F9}"/>
            </c:ext>
          </c:extLst>
        </c:ser>
        <c:ser>
          <c:idx val="13"/>
          <c:order val="13"/>
          <c:tx>
            <c:strRef>
              <c:f>Overview!$A$17</c:f>
              <c:strCache>
                <c:ptCount val="1"/>
                <c:pt idx="0">
                  <c:v>y11</c:v>
                </c:pt>
              </c:strCache>
            </c:strRef>
          </c:tx>
          <c:spPr>
            <a:ln w="28575" cap="rnd">
              <a:solidFill>
                <a:schemeClr val="accent2">
                  <a:lumMod val="80000"/>
                  <a:lumOff val="20000"/>
                </a:schemeClr>
              </a:solidFill>
              <a:round/>
            </a:ln>
            <a:effectLst/>
          </c:spPr>
          <c:marker>
            <c:symbol val="none"/>
          </c:marker>
          <c:cat>
            <c:strRef>
              <c:f>Overview!$B$3:$G$3</c:f>
              <c:strCache>
                <c:ptCount val="6"/>
                <c:pt idx="0">
                  <c:v>2014-2015</c:v>
                </c:pt>
                <c:pt idx="1">
                  <c:v>2015-2016</c:v>
                </c:pt>
                <c:pt idx="2">
                  <c:v>2016-2017</c:v>
                </c:pt>
                <c:pt idx="3">
                  <c:v>2017-2018</c:v>
                </c:pt>
                <c:pt idx="4">
                  <c:v>2018-2019</c:v>
                </c:pt>
                <c:pt idx="5">
                  <c:v>2019-2020 (est)</c:v>
                </c:pt>
              </c:strCache>
            </c:strRef>
          </c:cat>
          <c:val>
            <c:numRef>
              <c:f>Overview!$B$17:$G$17</c:f>
              <c:numCache>
                <c:formatCode>General</c:formatCode>
                <c:ptCount val="6"/>
                <c:pt idx="0">
                  <c:v>64</c:v>
                </c:pt>
                <c:pt idx="1">
                  <c:v>70</c:v>
                </c:pt>
                <c:pt idx="2">
                  <c:v>77</c:v>
                </c:pt>
                <c:pt idx="3">
                  <c:v>75</c:v>
                </c:pt>
                <c:pt idx="4">
                  <c:v>99</c:v>
                </c:pt>
                <c:pt idx="5" formatCode="0">
                  <c:v>105.60000000000001</c:v>
                </c:pt>
              </c:numCache>
            </c:numRef>
          </c:val>
          <c:smooth val="0"/>
          <c:extLst>
            <c:ext xmlns:c16="http://schemas.microsoft.com/office/drawing/2014/chart" uri="{C3380CC4-5D6E-409C-BE32-E72D297353CC}">
              <c16:uniqueId val="{00000004-DC93-4BED-806E-3E8FE4EB58F9}"/>
            </c:ext>
          </c:extLst>
        </c:ser>
        <c:dLbls>
          <c:showLegendKey val="0"/>
          <c:showVal val="0"/>
          <c:showCatName val="0"/>
          <c:showSerName val="0"/>
          <c:showPercent val="0"/>
          <c:showBubbleSize val="0"/>
        </c:dLbls>
        <c:smooth val="0"/>
        <c:axId val="555191416"/>
        <c:axId val="555192728"/>
        <c:extLst>
          <c:ext xmlns:c15="http://schemas.microsoft.com/office/drawing/2012/chart" uri="{02D57815-91ED-43cb-92C2-25804820EDAC}">
            <c15:filteredLineSeries>
              <c15:ser>
                <c:idx val="0"/>
                <c:order val="0"/>
                <c:tx>
                  <c:strRef>
                    <c:extLst>
                      <c:ext uri="{02D57815-91ED-43cb-92C2-25804820EDAC}">
                        <c15:formulaRef>
                          <c15:sqref>Overview!$A$4</c15:sqref>
                        </c15:formulaRef>
                      </c:ext>
                    </c:extLst>
                    <c:strCache>
                      <c:ptCount val="1"/>
                      <c:pt idx="0">
                        <c:v>nursery 1</c:v>
                      </c:pt>
                    </c:strCache>
                  </c:strRef>
                </c:tx>
                <c:spPr>
                  <a:ln w="28575" cap="rnd">
                    <a:solidFill>
                      <a:schemeClr val="accent1"/>
                    </a:solidFill>
                    <a:round/>
                  </a:ln>
                  <a:effectLst/>
                </c:spPr>
                <c:marker>
                  <c:symbol val="none"/>
                </c:marker>
                <c:cat>
                  <c:strRef>
                    <c:extLst>
                      <c:ex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c:ext uri="{02D57815-91ED-43cb-92C2-25804820EDAC}">
                        <c15:formulaRef>
                          <c15:sqref>Overview!$B$4:$G$4</c15:sqref>
                        </c15:formulaRef>
                      </c:ext>
                    </c:extLst>
                    <c:numCache>
                      <c:formatCode>General</c:formatCode>
                      <c:ptCount val="6"/>
                      <c:pt idx="0">
                        <c:v>9</c:v>
                      </c:pt>
                      <c:pt idx="1">
                        <c:v>17</c:v>
                      </c:pt>
                      <c:pt idx="2">
                        <c:v>9</c:v>
                      </c:pt>
                      <c:pt idx="3">
                        <c:v>27</c:v>
                      </c:pt>
                      <c:pt idx="4">
                        <c:v>15</c:v>
                      </c:pt>
                      <c:pt idx="5" formatCode="0">
                        <c:v>14.4</c:v>
                      </c:pt>
                    </c:numCache>
                  </c:numRef>
                </c:val>
                <c:smooth val="0"/>
                <c:extLst>
                  <c:ext xmlns:c16="http://schemas.microsoft.com/office/drawing/2014/chart" uri="{C3380CC4-5D6E-409C-BE32-E72D297353CC}">
                    <c16:uniqueId val="{00000005-DC93-4BED-806E-3E8FE4EB58F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Overview!$A$5</c15:sqref>
                        </c15:formulaRef>
                      </c:ext>
                    </c:extLst>
                    <c:strCache>
                      <c:ptCount val="1"/>
                      <c:pt idx="0">
                        <c:v>nursery 2</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Overview!$B$5:$G$5</c15:sqref>
                        </c15:formulaRef>
                      </c:ext>
                    </c:extLst>
                    <c:numCache>
                      <c:formatCode>General</c:formatCode>
                      <c:ptCount val="6"/>
                      <c:pt idx="0">
                        <c:v>10</c:v>
                      </c:pt>
                      <c:pt idx="1">
                        <c:v>62</c:v>
                      </c:pt>
                      <c:pt idx="2">
                        <c:v>70</c:v>
                      </c:pt>
                      <c:pt idx="3">
                        <c:v>41</c:v>
                      </c:pt>
                      <c:pt idx="4">
                        <c:v>69</c:v>
                      </c:pt>
                      <c:pt idx="5" formatCode="0">
                        <c:v>60.800000000000004</c:v>
                      </c:pt>
                    </c:numCache>
                  </c:numRef>
                </c:val>
                <c:smooth val="0"/>
                <c:extLst xmlns:c15="http://schemas.microsoft.com/office/drawing/2012/chart">
                  <c:ext xmlns:c16="http://schemas.microsoft.com/office/drawing/2014/chart" uri="{C3380CC4-5D6E-409C-BE32-E72D297353CC}">
                    <c16:uniqueId val="{00000006-DC93-4BED-806E-3E8FE4EB58F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Overview!$A$6</c15:sqref>
                        </c15:formulaRef>
                      </c:ext>
                    </c:extLst>
                    <c:strCache>
                      <c:ptCount val="1"/>
                      <c:pt idx="0">
                        <c:v>reception</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Overview!$B$6:$G$6</c15:sqref>
                        </c15:formulaRef>
                      </c:ext>
                    </c:extLst>
                    <c:numCache>
                      <c:formatCode>General</c:formatCode>
                      <c:ptCount val="6"/>
                      <c:pt idx="0">
                        <c:v>49</c:v>
                      </c:pt>
                      <c:pt idx="1">
                        <c:v>39</c:v>
                      </c:pt>
                      <c:pt idx="2">
                        <c:v>80</c:v>
                      </c:pt>
                      <c:pt idx="3">
                        <c:v>80</c:v>
                      </c:pt>
                      <c:pt idx="4">
                        <c:v>82</c:v>
                      </c:pt>
                      <c:pt idx="5" formatCode="0">
                        <c:v>59.2</c:v>
                      </c:pt>
                    </c:numCache>
                  </c:numRef>
                </c:val>
                <c:smooth val="0"/>
                <c:extLst xmlns:c15="http://schemas.microsoft.com/office/drawing/2012/chart">
                  <c:ext xmlns:c16="http://schemas.microsoft.com/office/drawing/2014/chart" uri="{C3380CC4-5D6E-409C-BE32-E72D297353CC}">
                    <c16:uniqueId val="{00000007-DC93-4BED-806E-3E8FE4EB58F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Overview!$A$7</c15:sqref>
                        </c15:formulaRef>
                      </c:ext>
                    </c:extLst>
                    <c:strCache>
                      <c:ptCount val="1"/>
                      <c:pt idx="0">
                        <c:v>y1</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Overview!$B$7:$G$7</c15:sqref>
                        </c15:formulaRef>
                      </c:ext>
                    </c:extLst>
                    <c:numCache>
                      <c:formatCode>General</c:formatCode>
                      <c:ptCount val="6"/>
                      <c:pt idx="0">
                        <c:v>27</c:v>
                      </c:pt>
                      <c:pt idx="1">
                        <c:v>69</c:v>
                      </c:pt>
                      <c:pt idx="2">
                        <c:v>49</c:v>
                      </c:pt>
                      <c:pt idx="3">
                        <c:v>96</c:v>
                      </c:pt>
                      <c:pt idx="4">
                        <c:v>72</c:v>
                      </c:pt>
                      <c:pt idx="5" formatCode="0">
                        <c:v>48</c:v>
                      </c:pt>
                    </c:numCache>
                  </c:numRef>
                </c:val>
                <c:smooth val="0"/>
                <c:extLst xmlns:c15="http://schemas.microsoft.com/office/drawing/2012/chart">
                  <c:ext xmlns:c16="http://schemas.microsoft.com/office/drawing/2014/chart" uri="{C3380CC4-5D6E-409C-BE32-E72D297353CC}">
                    <c16:uniqueId val="{00000008-DC93-4BED-806E-3E8FE4EB58F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Overview!$A$8</c15:sqref>
                        </c15:formulaRef>
                      </c:ext>
                    </c:extLst>
                    <c:strCache>
                      <c:ptCount val="1"/>
                      <c:pt idx="0">
                        <c:v>y2</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Overview!$B$8:$G$8</c15:sqref>
                        </c15:formulaRef>
                      </c:ext>
                    </c:extLst>
                    <c:numCache>
                      <c:formatCode>General</c:formatCode>
                      <c:ptCount val="6"/>
                      <c:pt idx="0">
                        <c:v>27</c:v>
                      </c:pt>
                      <c:pt idx="1">
                        <c:v>57</c:v>
                      </c:pt>
                      <c:pt idx="2">
                        <c:v>71</c:v>
                      </c:pt>
                      <c:pt idx="3">
                        <c:v>73</c:v>
                      </c:pt>
                      <c:pt idx="4">
                        <c:v>83</c:v>
                      </c:pt>
                      <c:pt idx="5" formatCode="0">
                        <c:v>80</c:v>
                      </c:pt>
                    </c:numCache>
                  </c:numRef>
                </c:val>
                <c:smooth val="0"/>
                <c:extLst xmlns:c15="http://schemas.microsoft.com/office/drawing/2012/chart">
                  <c:ext xmlns:c16="http://schemas.microsoft.com/office/drawing/2014/chart" uri="{C3380CC4-5D6E-409C-BE32-E72D297353CC}">
                    <c16:uniqueId val="{00000009-DC93-4BED-806E-3E8FE4EB58F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Overview!$A$9</c15:sqref>
                        </c15:formulaRef>
                      </c:ext>
                    </c:extLst>
                    <c:strCache>
                      <c:ptCount val="1"/>
                      <c:pt idx="0">
                        <c:v>y3</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Overview!$B$9:$G$9</c15:sqref>
                        </c15:formulaRef>
                      </c:ext>
                    </c:extLst>
                    <c:numCache>
                      <c:formatCode>General</c:formatCode>
                      <c:ptCount val="6"/>
                      <c:pt idx="0">
                        <c:v>41</c:v>
                      </c:pt>
                      <c:pt idx="1">
                        <c:v>46</c:v>
                      </c:pt>
                      <c:pt idx="2">
                        <c:v>59</c:v>
                      </c:pt>
                      <c:pt idx="3">
                        <c:v>92</c:v>
                      </c:pt>
                      <c:pt idx="4">
                        <c:v>75</c:v>
                      </c:pt>
                      <c:pt idx="5" formatCode="0">
                        <c:v>96</c:v>
                      </c:pt>
                    </c:numCache>
                  </c:numRef>
                </c:val>
                <c:smooth val="0"/>
                <c:extLst xmlns:c15="http://schemas.microsoft.com/office/drawing/2012/chart">
                  <c:ext xmlns:c16="http://schemas.microsoft.com/office/drawing/2014/chart" uri="{C3380CC4-5D6E-409C-BE32-E72D297353CC}">
                    <c16:uniqueId val="{0000000A-DC93-4BED-806E-3E8FE4EB58F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Overview!$A$10</c15:sqref>
                        </c15:formulaRef>
                      </c:ext>
                    </c:extLst>
                    <c:strCache>
                      <c:ptCount val="1"/>
                      <c:pt idx="0">
                        <c:v>y4</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Overview!$B$10:$G$10</c15:sqref>
                        </c15:formulaRef>
                      </c:ext>
                    </c:extLst>
                    <c:numCache>
                      <c:formatCode>General</c:formatCode>
                      <c:ptCount val="6"/>
                      <c:pt idx="0">
                        <c:v>47</c:v>
                      </c:pt>
                      <c:pt idx="1">
                        <c:v>58</c:v>
                      </c:pt>
                      <c:pt idx="2">
                        <c:v>55</c:v>
                      </c:pt>
                      <c:pt idx="3">
                        <c:v>75</c:v>
                      </c:pt>
                      <c:pt idx="4">
                        <c:v>77</c:v>
                      </c:pt>
                      <c:pt idx="5" formatCode="0">
                        <c:v>72</c:v>
                      </c:pt>
                    </c:numCache>
                  </c:numRef>
                </c:val>
                <c:smooth val="0"/>
                <c:extLst xmlns:c15="http://schemas.microsoft.com/office/drawing/2012/chart">
                  <c:ext xmlns:c16="http://schemas.microsoft.com/office/drawing/2014/chart" uri="{C3380CC4-5D6E-409C-BE32-E72D297353CC}">
                    <c16:uniqueId val="{0000000B-DC93-4BED-806E-3E8FE4EB58F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Overview!$A$11</c15:sqref>
                        </c15:formulaRef>
                      </c:ext>
                    </c:extLst>
                    <c:strCache>
                      <c:ptCount val="1"/>
                      <c:pt idx="0">
                        <c:v>y5</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Overview!$B$11:$G$11</c15:sqref>
                        </c15:formulaRef>
                      </c:ext>
                    </c:extLst>
                    <c:numCache>
                      <c:formatCode>General</c:formatCode>
                      <c:ptCount val="6"/>
                      <c:pt idx="0">
                        <c:v>47</c:v>
                      </c:pt>
                      <c:pt idx="1">
                        <c:v>66</c:v>
                      </c:pt>
                      <c:pt idx="2">
                        <c:v>63</c:v>
                      </c:pt>
                      <c:pt idx="3">
                        <c:v>89</c:v>
                      </c:pt>
                      <c:pt idx="4">
                        <c:v>75</c:v>
                      </c:pt>
                      <c:pt idx="5" formatCode="0">
                        <c:v>84.800000000000011</c:v>
                      </c:pt>
                    </c:numCache>
                  </c:numRef>
                </c:val>
                <c:smooth val="0"/>
                <c:extLst xmlns:c15="http://schemas.microsoft.com/office/drawing/2012/chart">
                  <c:ext xmlns:c16="http://schemas.microsoft.com/office/drawing/2014/chart" uri="{C3380CC4-5D6E-409C-BE32-E72D297353CC}">
                    <c16:uniqueId val="{0000000C-DC93-4BED-806E-3E8FE4EB58F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Overview!$A$12</c15:sqref>
                        </c15:formulaRef>
                      </c:ext>
                    </c:extLst>
                    <c:strCache>
                      <c:ptCount val="1"/>
                      <c:pt idx="0">
                        <c:v>y6</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Overview!$B$12:$G$12</c15:sqref>
                        </c15:formulaRef>
                      </c:ext>
                    </c:extLst>
                    <c:numCache>
                      <c:formatCode>General</c:formatCode>
                      <c:ptCount val="6"/>
                      <c:pt idx="0">
                        <c:v>49</c:v>
                      </c:pt>
                      <c:pt idx="1">
                        <c:v>68</c:v>
                      </c:pt>
                      <c:pt idx="2">
                        <c:v>87</c:v>
                      </c:pt>
                      <c:pt idx="3">
                        <c:v>104</c:v>
                      </c:pt>
                      <c:pt idx="4">
                        <c:v>136</c:v>
                      </c:pt>
                      <c:pt idx="5" formatCode="0">
                        <c:v>164.8</c:v>
                      </c:pt>
                    </c:numCache>
                  </c:numRef>
                </c:val>
                <c:smooth val="0"/>
                <c:extLst xmlns:c15="http://schemas.microsoft.com/office/drawing/2012/chart">
                  <c:ext xmlns:c16="http://schemas.microsoft.com/office/drawing/2014/chart" uri="{C3380CC4-5D6E-409C-BE32-E72D297353CC}">
                    <c16:uniqueId val="{0000000D-DC93-4BED-806E-3E8FE4EB58F9}"/>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Overview!$A$18</c15:sqref>
                        </c15:formulaRef>
                      </c:ext>
                    </c:extLst>
                    <c:strCache>
                      <c:ptCount val="1"/>
                      <c:pt idx="0">
                        <c:v>y12 (17)</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Overview!$B$18:$G$18</c15:sqref>
                        </c15:formulaRef>
                      </c:ext>
                    </c:extLst>
                    <c:numCache>
                      <c:formatCode>General</c:formatCode>
                      <c:ptCount val="6"/>
                      <c:pt idx="0">
                        <c:v>41</c:v>
                      </c:pt>
                      <c:pt idx="1">
                        <c:v>53</c:v>
                      </c:pt>
                      <c:pt idx="2">
                        <c:v>56</c:v>
                      </c:pt>
                      <c:pt idx="3">
                        <c:v>66</c:v>
                      </c:pt>
                      <c:pt idx="4">
                        <c:v>71</c:v>
                      </c:pt>
                      <c:pt idx="5" formatCode="0">
                        <c:v>54.400000000000006</c:v>
                      </c:pt>
                    </c:numCache>
                  </c:numRef>
                </c:val>
                <c:smooth val="0"/>
                <c:extLst xmlns:c15="http://schemas.microsoft.com/office/drawing/2012/chart">
                  <c:ext xmlns:c16="http://schemas.microsoft.com/office/drawing/2014/chart" uri="{C3380CC4-5D6E-409C-BE32-E72D297353CC}">
                    <c16:uniqueId val="{0000000E-DC93-4BED-806E-3E8FE4EB58F9}"/>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Overview!$A$19</c15:sqref>
                        </c15:formulaRef>
                      </c:ext>
                    </c:extLst>
                    <c:strCache>
                      <c:ptCount val="1"/>
                      <c:pt idx="0">
                        <c:v>Y13 (18)</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Overview!$B$19:$G$19</c15:sqref>
                        </c15:formulaRef>
                      </c:ext>
                    </c:extLst>
                    <c:numCache>
                      <c:formatCode>General</c:formatCode>
                      <c:ptCount val="6"/>
                      <c:pt idx="0">
                        <c:v>23</c:v>
                      </c:pt>
                      <c:pt idx="1">
                        <c:v>42</c:v>
                      </c:pt>
                      <c:pt idx="2">
                        <c:v>37</c:v>
                      </c:pt>
                      <c:pt idx="3">
                        <c:v>61</c:v>
                      </c:pt>
                      <c:pt idx="4">
                        <c:v>56</c:v>
                      </c:pt>
                      <c:pt idx="5" formatCode="0">
                        <c:v>40</c:v>
                      </c:pt>
                    </c:numCache>
                  </c:numRef>
                </c:val>
                <c:smooth val="0"/>
                <c:extLst xmlns:c15="http://schemas.microsoft.com/office/drawing/2012/chart">
                  <c:ext xmlns:c16="http://schemas.microsoft.com/office/drawing/2014/chart" uri="{C3380CC4-5D6E-409C-BE32-E72D297353CC}">
                    <c16:uniqueId val="{0000000F-DC93-4BED-806E-3E8FE4EB58F9}"/>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Overview!$A$20</c15:sqref>
                        </c15:formulaRef>
                      </c:ext>
                    </c:extLst>
                    <c:strCache>
                      <c:ptCount val="1"/>
                      <c:pt idx="0">
                        <c:v>Y14 (19)</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Overview!$B$20:$G$20</c15:sqref>
                        </c15:formulaRef>
                      </c:ext>
                    </c:extLst>
                    <c:numCache>
                      <c:formatCode>General</c:formatCode>
                      <c:ptCount val="6"/>
                      <c:pt idx="0">
                        <c:v>14</c:v>
                      </c:pt>
                      <c:pt idx="1">
                        <c:v>27</c:v>
                      </c:pt>
                      <c:pt idx="2">
                        <c:v>48</c:v>
                      </c:pt>
                      <c:pt idx="3">
                        <c:v>34</c:v>
                      </c:pt>
                      <c:pt idx="4">
                        <c:v>55</c:v>
                      </c:pt>
                      <c:pt idx="5" formatCode="0">
                        <c:v>48</c:v>
                      </c:pt>
                    </c:numCache>
                  </c:numRef>
                </c:val>
                <c:smooth val="0"/>
                <c:extLst xmlns:c15="http://schemas.microsoft.com/office/drawing/2012/chart">
                  <c:ext xmlns:c16="http://schemas.microsoft.com/office/drawing/2014/chart" uri="{C3380CC4-5D6E-409C-BE32-E72D297353CC}">
                    <c16:uniqueId val="{00000010-DC93-4BED-806E-3E8FE4EB58F9}"/>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Overview!$A$21</c15:sqref>
                        </c15:formulaRef>
                      </c:ext>
                    </c:extLst>
                    <c:strCache>
                      <c:ptCount val="1"/>
                      <c:pt idx="0">
                        <c:v>Y15 (20)</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Overview!$B$21:$G$21</c15:sqref>
                        </c15:formulaRef>
                      </c:ext>
                    </c:extLst>
                    <c:numCache>
                      <c:formatCode>General</c:formatCode>
                      <c:ptCount val="6"/>
                      <c:pt idx="0">
                        <c:v>4</c:v>
                      </c:pt>
                      <c:pt idx="1">
                        <c:v>15</c:v>
                      </c:pt>
                      <c:pt idx="2">
                        <c:v>32</c:v>
                      </c:pt>
                      <c:pt idx="3">
                        <c:v>37</c:v>
                      </c:pt>
                      <c:pt idx="4">
                        <c:v>28</c:v>
                      </c:pt>
                      <c:pt idx="5" formatCode="0">
                        <c:v>22.400000000000002</c:v>
                      </c:pt>
                    </c:numCache>
                  </c:numRef>
                </c:val>
                <c:smooth val="0"/>
                <c:extLst xmlns:c15="http://schemas.microsoft.com/office/drawing/2012/chart">
                  <c:ext xmlns:c16="http://schemas.microsoft.com/office/drawing/2014/chart" uri="{C3380CC4-5D6E-409C-BE32-E72D297353CC}">
                    <c16:uniqueId val="{00000011-DC93-4BED-806E-3E8FE4EB58F9}"/>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Overview!$A$22</c15:sqref>
                        </c15:formulaRef>
                      </c:ext>
                    </c:extLst>
                    <c:strCache>
                      <c:ptCount val="1"/>
                      <c:pt idx="0">
                        <c:v>Y16 (21)</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Overview!$B$22:$G$22</c15:sqref>
                        </c15:formulaRef>
                      </c:ext>
                    </c:extLst>
                    <c:numCache>
                      <c:formatCode>General</c:formatCode>
                      <c:ptCount val="6"/>
                      <c:pt idx="0">
                        <c:v>0</c:v>
                      </c:pt>
                      <c:pt idx="1">
                        <c:v>3</c:v>
                      </c:pt>
                      <c:pt idx="2">
                        <c:v>23</c:v>
                      </c:pt>
                      <c:pt idx="3">
                        <c:v>23</c:v>
                      </c:pt>
                      <c:pt idx="4">
                        <c:v>33</c:v>
                      </c:pt>
                      <c:pt idx="5" formatCode="0">
                        <c:v>9.6000000000000014</c:v>
                      </c:pt>
                    </c:numCache>
                  </c:numRef>
                </c:val>
                <c:smooth val="0"/>
                <c:extLst xmlns:c15="http://schemas.microsoft.com/office/drawing/2012/chart">
                  <c:ext xmlns:c16="http://schemas.microsoft.com/office/drawing/2014/chart" uri="{C3380CC4-5D6E-409C-BE32-E72D297353CC}">
                    <c16:uniqueId val="{00000012-DC93-4BED-806E-3E8FE4EB58F9}"/>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Overview!$A$23</c15:sqref>
                        </c15:formulaRef>
                      </c:ext>
                    </c:extLst>
                    <c:strCache>
                      <c:ptCount val="1"/>
                      <c:pt idx="0">
                        <c:v>Y17 (22)</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Overview!$B$23:$G$23</c15:sqref>
                        </c15:formulaRef>
                      </c:ext>
                    </c:extLst>
                    <c:numCache>
                      <c:formatCode>General</c:formatCode>
                      <c:ptCount val="6"/>
                      <c:pt idx="0">
                        <c:v>1</c:v>
                      </c:pt>
                      <c:pt idx="1">
                        <c:v>14</c:v>
                      </c:pt>
                      <c:pt idx="2">
                        <c:v>12</c:v>
                      </c:pt>
                      <c:pt idx="3">
                        <c:v>25</c:v>
                      </c:pt>
                      <c:pt idx="4">
                        <c:v>15</c:v>
                      </c:pt>
                      <c:pt idx="5" formatCode="0">
                        <c:v>24</c:v>
                      </c:pt>
                    </c:numCache>
                  </c:numRef>
                </c:val>
                <c:smooth val="0"/>
                <c:extLst xmlns:c15="http://schemas.microsoft.com/office/drawing/2012/chart">
                  <c:ext xmlns:c16="http://schemas.microsoft.com/office/drawing/2014/chart" uri="{C3380CC4-5D6E-409C-BE32-E72D297353CC}">
                    <c16:uniqueId val="{00000013-DC93-4BED-806E-3E8FE4EB58F9}"/>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Overview!$A$24</c15:sqref>
                        </c15:formulaRef>
                      </c:ext>
                    </c:extLst>
                    <c:strCache>
                      <c:ptCount val="1"/>
                      <c:pt idx="0">
                        <c:v>23</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Overview!$B$24:$G$24</c15:sqref>
                        </c15:formulaRef>
                      </c:ext>
                    </c:extLst>
                    <c:numCache>
                      <c:formatCode>General</c:formatCode>
                      <c:ptCount val="6"/>
                      <c:pt idx="0">
                        <c:v>0</c:v>
                      </c:pt>
                      <c:pt idx="1">
                        <c:v>7</c:v>
                      </c:pt>
                      <c:pt idx="2">
                        <c:v>13</c:v>
                      </c:pt>
                      <c:pt idx="3">
                        <c:v>8</c:v>
                      </c:pt>
                      <c:pt idx="4">
                        <c:v>16</c:v>
                      </c:pt>
                      <c:pt idx="5" formatCode="0">
                        <c:v>6.4</c:v>
                      </c:pt>
                    </c:numCache>
                  </c:numRef>
                </c:val>
                <c:smooth val="0"/>
                <c:extLst xmlns:c15="http://schemas.microsoft.com/office/drawing/2012/chart">
                  <c:ext xmlns:c16="http://schemas.microsoft.com/office/drawing/2014/chart" uri="{C3380CC4-5D6E-409C-BE32-E72D297353CC}">
                    <c16:uniqueId val="{00000014-DC93-4BED-806E-3E8FE4EB58F9}"/>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Overview!$A$25</c15:sqref>
                        </c15:formulaRef>
                      </c:ext>
                    </c:extLst>
                    <c:strCache>
                      <c:ptCount val="1"/>
                      <c:pt idx="0">
                        <c:v>24</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Overview!$B$25:$G$25</c15:sqref>
                        </c15:formulaRef>
                      </c:ext>
                    </c:extLst>
                    <c:numCache>
                      <c:formatCode>General</c:formatCode>
                      <c:ptCount val="6"/>
                      <c:pt idx="0">
                        <c:v>0</c:v>
                      </c:pt>
                      <c:pt idx="1">
                        <c:v>0</c:v>
                      </c:pt>
                      <c:pt idx="2">
                        <c:v>6</c:v>
                      </c:pt>
                      <c:pt idx="3">
                        <c:v>18</c:v>
                      </c:pt>
                      <c:pt idx="4">
                        <c:v>1</c:v>
                      </c:pt>
                      <c:pt idx="5" formatCode="0">
                        <c:v>11.200000000000001</c:v>
                      </c:pt>
                    </c:numCache>
                  </c:numRef>
                </c:val>
                <c:smooth val="0"/>
                <c:extLst xmlns:c15="http://schemas.microsoft.com/office/drawing/2012/chart">
                  <c:ext xmlns:c16="http://schemas.microsoft.com/office/drawing/2014/chart" uri="{C3380CC4-5D6E-409C-BE32-E72D297353CC}">
                    <c16:uniqueId val="{00000015-DC93-4BED-806E-3E8FE4EB58F9}"/>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Overview!$A$26</c15:sqref>
                        </c15:formulaRef>
                      </c:ext>
                    </c:extLst>
                    <c:strCache>
                      <c:ptCount val="1"/>
                      <c:pt idx="0">
                        <c:v>25</c:v>
                      </c:pt>
                    </c:strCache>
                  </c:strRef>
                </c:tx>
                <c:spPr>
                  <a:ln w="28575" cap="rnd">
                    <a:solidFill>
                      <a:schemeClr val="accent5">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Overview!$B$26:$G$26</c15:sqref>
                        </c15:formulaRef>
                      </c:ext>
                    </c:extLst>
                    <c:numCache>
                      <c:formatCode>General</c:formatCode>
                      <c:ptCount val="6"/>
                      <c:pt idx="0">
                        <c:v>0</c:v>
                      </c:pt>
                      <c:pt idx="1">
                        <c:v>0</c:v>
                      </c:pt>
                      <c:pt idx="2">
                        <c:v>0</c:v>
                      </c:pt>
                      <c:pt idx="3">
                        <c:v>0</c:v>
                      </c:pt>
                      <c:pt idx="4">
                        <c:v>7</c:v>
                      </c:pt>
                      <c:pt idx="5" formatCode="0">
                        <c:v>4.8000000000000007</c:v>
                      </c:pt>
                    </c:numCache>
                  </c:numRef>
                </c:val>
                <c:smooth val="0"/>
                <c:extLst xmlns:c15="http://schemas.microsoft.com/office/drawing/2012/chart">
                  <c:ext xmlns:c16="http://schemas.microsoft.com/office/drawing/2014/chart" uri="{C3380CC4-5D6E-409C-BE32-E72D297353CC}">
                    <c16:uniqueId val="{00000016-DC93-4BED-806E-3E8FE4EB58F9}"/>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Overview!$A$27</c15:sqref>
                        </c15:formulaRef>
                      </c:ext>
                    </c:extLst>
                    <c:strCache>
                      <c:ptCount val="1"/>
                      <c:pt idx="0">
                        <c:v>unknown </c:v>
                      </c:pt>
                    </c:strCache>
                  </c:strRef>
                </c:tx>
                <c:spPr>
                  <a:ln w="28575" cap="rnd">
                    <a:solidFill>
                      <a:schemeClr val="accent6">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Overview!$B$3:$G$3</c15:sqref>
                        </c15:formulaRef>
                      </c:ext>
                    </c:extLst>
                    <c:strCache>
                      <c:ptCount val="6"/>
                      <c:pt idx="0">
                        <c:v>2014-2015</c:v>
                      </c:pt>
                      <c:pt idx="1">
                        <c:v>2015-2016</c:v>
                      </c:pt>
                      <c:pt idx="2">
                        <c:v>2016-2017</c:v>
                      </c:pt>
                      <c:pt idx="3">
                        <c:v>2017-2018</c:v>
                      </c:pt>
                      <c:pt idx="4">
                        <c:v>2018-2019</c:v>
                      </c:pt>
                      <c:pt idx="5">
                        <c:v>2019-2020 (est)</c:v>
                      </c:pt>
                    </c:strCache>
                  </c:strRef>
                </c:cat>
                <c:val>
                  <c:numRef>
                    <c:extLst xmlns:c15="http://schemas.microsoft.com/office/drawing/2012/chart">
                      <c:ext xmlns:c15="http://schemas.microsoft.com/office/drawing/2012/chart" uri="{02D57815-91ED-43cb-92C2-25804820EDAC}">
                        <c15:formulaRef>
                          <c15:sqref>Overview!$B$27:$G$27</c15:sqref>
                        </c15:formulaRef>
                      </c:ext>
                    </c:extLst>
                    <c:numCache>
                      <c:formatCode>General</c:formatCode>
                      <c:ptCount val="6"/>
                      <c:pt idx="0">
                        <c:v>1</c:v>
                      </c:pt>
                      <c:pt idx="1">
                        <c:v>4</c:v>
                      </c:pt>
                      <c:pt idx="2">
                        <c:v>0</c:v>
                      </c:pt>
                      <c:pt idx="3">
                        <c:v>4</c:v>
                      </c:pt>
                      <c:pt idx="4">
                        <c:v>4</c:v>
                      </c:pt>
                      <c:pt idx="5" formatCode="0">
                        <c:v>0</c:v>
                      </c:pt>
                    </c:numCache>
                  </c:numRef>
                </c:val>
                <c:smooth val="0"/>
                <c:extLst xmlns:c15="http://schemas.microsoft.com/office/drawing/2012/chart">
                  <c:ext xmlns:c16="http://schemas.microsoft.com/office/drawing/2014/chart" uri="{C3380CC4-5D6E-409C-BE32-E72D297353CC}">
                    <c16:uniqueId val="{00000017-DC93-4BED-806E-3E8FE4EB58F9}"/>
                  </c:ext>
                </c:extLst>
              </c15:ser>
            </c15:filteredLineSeries>
          </c:ext>
        </c:extLst>
      </c:lineChart>
      <c:catAx>
        <c:axId val="555191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192728"/>
        <c:crosses val="autoZero"/>
        <c:auto val="1"/>
        <c:lblAlgn val="ctr"/>
        <c:lblOffset val="100"/>
        <c:noMultiLvlLbl val="0"/>
      </c:catAx>
      <c:valAx>
        <c:axId val="555192728"/>
        <c:scaling>
          <c:orientation val="minMax"/>
          <c:max val="110"/>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191416"/>
        <c:crosses val="autoZero"/>
        <c:crossBetween val="between"/>
        <c:majorUnit val="10"/>
      </c:valAx>
      <c:spPr>
        <a:noFill/>
        <a:ln>
          <a:noFill/>
        </a:ln>
        <a:effectLst/>
      </c:spPr>
    </c:plotArea>
    <c:legend>
      <c:legendPos val="t"/>
      <c:layout>
        <c:manualLayout>
          <c:xMode val="edge"/>
          <c:yMode val="edge"/>
          <c:x val="0.26813474041885849"/>
          <c:y val="0.12142137096774196"/>
          <c:w val="0.46373034255544793"/>
          <c:h val="8.505603886207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Ward correlation of</a:t>
            </a:r>
            <a:r>
              <a:rPr lang="en-GB" baseline="0"/>
              <a:t> EHCP and CYP population</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28795910315132"/>
          <c:y val="0.1415826612903226"/>
          <c:w val="0.84781225876177246"/>
          <c:h val="0.6446909925069850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0.11009212083783644"/>
                  <c:y val="0.438319719953325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'ward prevelence '!$B$4:$B$24</c:f>
              <c:numCache>
                <c:formatCode>General</c:formatCode>
                <c:ptCount val="21"/>
                <c:pt idx="0">
                  <c:v>46</c:v>
                </c:pt>
                <c:pt idx="1">
                  <c:v>12</c:v>
                </c:pt>
                <c:pt idx="2">
                  <c:v>48</c:v>
                </c:pt>
                <c:pt idx="3">
                  <c:v>12</c:v>
                </c:pt>
                <c:pt idx="4">
                  <c:v>34</c:v>
                </c:pt>
                <c:pt idx="5">
                  <c:v>20</c:v>
                </c:pt>
                <c:pt idx="6">
                  <c:v>10</c:v>
                </c:pt>
                <c:pt idx="7">
                  <c:v>16</c:v>
                </c:pt>
                <c:pt idx="8">
                  <c:v>41</c:v>
                </c:pt>
                <c:pt idx="9">
                  <c:v>59</c:v>
                </c:pt>
                <c:pt idx="10">
                  <c:v>4</c:v>
                </c:pt>
                <c:pt idx="11">
                  <c:v>27</c:v>
                </c:pt>
                <c:pt idx="12">
                  <c:v>26</c:v>
                </c:pt>
                <c:pt idx="13">
                  <c:v>28</c:v>
                </c:pt>
                <c:pt idx="14">
                  <c:v>25</c:v>
                </c:pt>
                <c:pt idx="15">
                  <c:v>33</c:v>
                </c:pt>
                <c:pt idx="16">
                  <c:v>36</c:v>
                </c:pt>
                <c:pt idx="17">
                  <c:v>34</c:v>
                </c:pt>
                <c:pt idx="18">
                  <c:v>41</c:v>
                </c:pt>
                <c:pt idx="19">
                  <c:v>79</c:v>
                </c:pt>
                <c:pt idx="20">
                  <c:v>7</c:v>
                </c:pt>
              </c:numCache>
            </c:numRef>
          </c:xVal>
          <c:yVal>
            <c:numRef>
              <c:f>'ward prevelence '!$J$4:$J$24</c:f>
              <c:numCache>
                <c:formatCode>0</c:formatCode>
                <c:ptCount val="21"/>
                <c:pt idx="0">
                  <c:v>2215.4760000000001</c:v>
                </c:pt>
                <c:pt idx="1">
                  <c:v>884.1</c:v>
                </c:pt>
                <c:pt idx="2">
                  <c:v>2312.2219999999998</c:v>
                </c:pt>
                <c:pt idx="3">
                  <c:v>933.47800000000007</c:v>
                </c:pt>
                <c:pt idx="4">
                  <c:v>2612.7179999999998</c:v>
                </c:pt>
                <c:pt idx="5">
                  <c:v>1669.0279999999998</c:v>
                </c:pt>
                <c:pt idx="6">
                  <c:v>850.43999999999994</c:v>
                </c:pt>
                <c:pt idx="7">
                  <c:v>2872.0549999999994</c:v>
                </c:pt>
                <c:pt idx="8">
                  <c:v>2305.27</c:v>
                </c:pt>
                <c:pt idx="9">
                  <c:v>3086.2960000000003</c:v>
                </c:pt>
                <c:pt idx="10">
                  <c:v>685.5390000000001</c:v>
                </c:pt>
                <c:pt idx="11">
                  <c:v>2664.297</c:v>
                </c:pt>
                <c:pt idx="12">
                  <c:v>1889.875</c:v>
                </c:pt>
                <c:pt idx="13">
                  <c:v>2395.5220000000004</c:v>
                </c:pt>
                <c:pt idx="14">
                  <c:v>2365.6410000000001</c:v>
                </c:pt>
                <c:pt idx="15">
                  <c:v>1719.0739999999998</c:v>
                </c:pt>
                <c:pt idx="16">
                  <c:v>2719.6840000000002</c:v>
                </c:pt>
                <c:pt idx="17">
                  <c:v>1800.7909999999999</c:v>
                </c:pt>
                <c:pt idx="18">
                  <c:v>2012.6399999999999</c:v>
                </c:pt>
                <c:pt idx="19">
                  <c:v>3499.2799999999997</c:v>
                </c:pt>
                <c:pt idx="20">
                  <c:v>1043</c:v>
                </c:pt>
              </c:numCache>
            </c:numRef>
          </c:yVal>
          <c:smooth val="0"/>
          <c:extLst>
            <c:ext xmlns:c16="http://schemas.microsoft.com/office/drawing/2014/chart" uri="{C3380CC4-5D6E-409C-BE32-E72D297353CC}">
              <c16:uniqueId val="{00000000-A3CB-4A73-B493-9CAFFC3C87B0}"/>
            </c:ext>
          </c:extLst>
        </c:ser>
        <c:dLbls>
          <c:showLegendKey val="0"/>
          <c:showVal val="0"/>
          <c:showCatName val="0"/>
          <c:showSerName val="0"/>
          <c:showPercent val="0"/>
          <c:showBubbleSize val="0"/>
        </c:dLbls>
        <c:axId val="607503375"/>
        <c:axId val="607504623"/>
      </c:scatterChart>
      <c:valAx>
        <c:axId val="6075033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CYP with EHCP in a ward</a:t>
                </a:r>
              </a:p>
            </c:rich>
          </c:tx>
          <c:layout>
            <c:manualLayout>
              <c:xMode val="edge"/>
              <c:yMode val="edge"/>
              <c:x val="0.37704149726382241"/>
              <c:y val="0.893119761239522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504623"/>
        <c:crosses val="autoZero"/>
        <c:crossBetween val="midCat"/>
      </c:valAx>
      <c:valAx>
        <c:axId val="607504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CYP aged 0-19 in a ward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50337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Ward</a:t>
            </a:r>
            <a:r>
              <a:rPr lang="en-GB" baseline="0"/>
              <a:t> correlation of SEN-support and CYP population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19783003885155"/>
          <c:y val="0.16174395161290325"/>
          <c:w val="0.84296468220671283"/>
          <c:h val="0.639650669926339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8.8833159488458963E-2"/>
                  <c:y val="0.3631385181776345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'ward prevelence '!$D$4:$D$24</c:f>
              <c:numCache>
                <c:formatCode>General</c:formatCode>
                <c:ptCount val="21"/>
                <c:pt idx="0">
                  <c:v>154</c:v>
                </c:pt>
                <c:pt idx="1">
                  <c:v>47</c:v>
                </c:pt>
                <c:pt idx="2">
                  <c:v>179</c:v>
                </c:pt>
                <c:pt idx="3">
                  <c:v>33</c:v>
                </c:pt>
                <c:pt idx="4">
                  <c:v>142</c:v>
                </c:pt>
                <c:pt idx="5">
                  <c:v>66</c:v>
                </c:pt>
                <c:pt idx="6">
                  <c:v>45</c:v>
                </c:pt>
                <c:pt idx="7">
                  <c:v>79</c:v>
                </c:pt>
                <c:pt idx="8">
                  <c:v>104</c:v>
                </c:pt>
                <c:pt idx="9">
                  <c:v>152</c:v>
                </c:pt>
                <c:pt idx="10">
                  <c:v>28</c:v>
                </c:pt>
                <c:pt idx="11">
                  <c:v>158</c:v>
                </c:pt>
                <c:pt idx="12">
                  <c:v>130</c:v>
                </c:pt>
                <c:pt idx="13">
                  <c:v>150</c:v>
                </c:pt>
                <c:pt idx="14">
                  <c:v>94</c:v>
                </c:pt>
                <c:pt idx="15">
                  <c:v>97</c:v>
                </c:pt>
                <c:pt idx="16">
                  <c:v>137</c:v>
                </c:pt>
                <c:pt idx="17">
                  <c:v>95</c:v>
                </c:pt>
                <c:pt idx="18">
                  <c:v>111</c:v>
                </c:pt>
                <c:pt idx="19">
                  <c:v>362</c:v>
                </c:pt>
                <c:pt idx="20">
                  <c:v>66</c:v>
                </c:pt>
              </c:numCache>
            </c:numRef>
          </c:xVal>
          <c:yVal>
            <c:numRef>
              <c:f>'ward prevelence '!$J$4:$J$24</c:f>
              <c:numCache>
                <c:formatCode>0</c:formatCode>
                <c:ptCount val="21"/>
                <c:pt idx="0">
                  <c:v>2215.4760000000001</c:v>
                </c:pt>
                <c:pt idx="1">
                  <c:v>884.1</c:v>
                </c:pt>
                <c:pt idx="2">
                  <c:v>2312.2219999999998</c:v>
                </c:pt>
                <c:pt idx="3">
                  <c:v>933.47800000000007</c:v>
                </c:pt>
                <c:pt idx="4">
                  <c:v>2612.7179999999998</c:v>
                </c:pt>
                <c:pt idx="5">
                  <c:v>1669.0279999999998</c:v>
                </c:pt>
                <c:pt idx="6">
                  <c:v>850.43999999999994</c:v>
                </c:pt>
                <c:pt idx="7">
                  <c:v>2872.0549999999994</c:v>
                </c:pt>
                <c:pt idx="8">
                  <c:v>2305.27</c:v>
                </c:pt>
                <c:pt idx="9">
                  <c:v>3086.2960000000003</c:v>
                </c:pt>
                <c:pt idx="10">
                  <c:v>685.5390000000001</c:v>
                </c:pt>
                <c:pt idx="11">
                  <c:v>2664.297</c:v>
                </c:pt>
                <c:pt idx="12">
                  <c:v>1889.875</c:v>
                </c:pt>
                <c:pt idx="13">
                  <c:v>2395.5220000000004</c:v>
                </c:pt>
                <c:pt idx="14">
                  <c:v>2365.6410000000001</c:v>
                </c:pt>
                <c:pt idx="15">
                  <c:v>1719.0739999999998</c:v>
                </c:pt>
                <c:pt idx="16">
                  <c:v>2719.6840000000002</c:v>
                </c:pt>
                <c:pt idx="17">
                  <c:v>1800.7909999999999</c:v>
                </c:pt>
                <c:pt idx="18">
                  <c:v>2012.6399999999999</c:v>
                </c:pt>
                <c:pt idx="19">
                  <c:v>3499.2799999999997</c:v>
                </c:pt>
                <c:pt idx="20">
                  <c:v>1043</c:v>
                </c:pt>
              </c:numCache>
            </c:numRef>
          </c:yVal>
          <c:smooth val="0"/>
          <c:extLst>
            <c:ext xmlns:c16="http://schemas.microsoft.com/office/drawing/2014/chart" uri="{C3380CC4-5D6E-409C-BE32-E72D297353CC}">
              <c16:uniqueId val="{00000000-81EC-4ACC-827D-94B177059EC5}"/>
            </c:ext>
          </c:extLst>
        </c:ser>
        <c:dLbls>
          <c:showLegendKey val="0"/>
          <c:showVal val="0"/>
          <c:showCatName val="0"/>
          <c:showSerName val="0"/>
          <c:showPercent val="0"/>
          <c:showBubbleSize val="0"/>
        </c:dLbls>
        <c:axId val="654204671"/>
        <c:axId val="654209247"/>
      </c:scatterChart>
      <c:valAx>
        <c:axId val="6542046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CYP with SEN-Support in a ward</a:t>
                </a:r>
              </a:p>
            </c:rich>
          </c:tx>
          <c:layout>
            <c:manualLayout>
              <c:xMode val="edge"/>
              <c:yMode val="edge"/>
              <c:x val="0.34215653923851663"/>
              <c:y val="0.88807943865887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09247"/>
        <c:crosses val="autoZero"/>
        <c:crossBetween val="midCat"/>
      </c:valAx>
      <c:valAx>
        <c:axId val="654209247"/>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CYP aged 0-19 in a ward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0467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EB26F-E3E7-4CC1-AD1A-BDC78572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12998</Words>
  <Characters>74089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City of York Council</Company>
  <LinksUpToDate>false</LinksUpToDate>
  <CharactersWithSpaces>86914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Saunders, Jennifer</dc:creator>
  <cp:keywords/>
  <dc:description/>
  <cp:lastModifiedBy>Truby, Philip</cp:lastModifiedBy>
  <cp:revision>2</cp:revision>
  <dcterms:created xsi:type="dcterms:W3CDTF">2022-02-28T15:05:00Z</dcterms:created>
  <dcterms:modified xsi:type="dcterms:W3CDTF">2022-02-28T15:05:00Z</dcterms:modified>
</cp:coreProperties>
</file>